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164C2" w14:textId="7A933CCB" w:rsidR="007268B0" w:rsidRDefault="007268B0" w:rsidP="00780300">
      <w:pPr>
        <w:pStyle w:val="NoSpacing"/>
        <w:rPr>
          <w:rFonts w:eastAsia="Times New Roman" w:cs="Times New Roman"/>
          <w:b/>
          <w:bCs/>
          <w:sz w:val="24"/>
          <w:szCs w:val="40"/>
        </w:rPr>
      </w:pPr>
      <w:r w:rsidRPr="007268B0">
        <w:rPr>
          <w:rFonts w:eastAsia="Times New Roman" w:cs="Times New Roman"/>
          <w:b/>
          <w:bCs/>
          <w:sz w:val="24"/>
          <w:szCs w:val="40"/>
        </w:rPr>
        <w:t xml:space="preserve">1. </w:t>
      </w:r>
      <w:r w:rsidR="008A7A91" w:rsidRPr="008A7A91">
        <w:rPr>
          <w:rFonts w:eastAsia="Times New Roman" w:cs="Times New Roman"/>
          <w:b/>
          <w:bCs/>
          <w:sz w:val="24"/>
          <w:szCs w:val="40"/>
        </w:rPr>
        <w:t>Which statement best distinguishes recovered heat from waste or surplus heat?</w:t>
      </w:r>
    </w:p>
    <w:p w14:paraId="7A5187C9" w14:textId="77777777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A. Recovered heat is always renewable heat.</w:t>
      </w:r>
    </w:p>
    <w:p w14:paraId="24D31BC3" w14:textId="77777777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B. Recovered heat is surplus heat that has been captured and delivered to a useful purpose.</w:t>
      </w:r>
    </w:p>
    <w:p w14:paraId="51DCD77D" w14:textId="77777777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C. Recovered heat is any heat measured at a source, whether it is usable or not.</w:t>
      </w:r>
    </w:p>
    <w:p w14:paraId="39C88404" w14:textId="2043B379" w:rsidR="00780300" w:rsidRPr="00780300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D. Recovered heat must always be exported to a district-heating network.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2"/>
        <w:gridCol w:w="4826"/>
      </w:tblGrid>
      <w:tr w:rsidR="00780300" w:rsidRPr="00780300" w14:paraId="0DF277DA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5C7D5828" w14:textId="42213CD5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CD0D77">
              <w:rPr>
                <w:rFonts w:eastAsia="Arial" w:cs="Times New Roman"/>
                <w:b/>
                <w:sz w:val="18"/>
              </w:rPr>
              <w:t>B</w:t>
            </w:r>
          </w:p>
        </w:tc>
        <w:tc>
          <w:tcPr>
            <w:tcW w:w="5112" w:type="dxa"/>
            <w:shd w:val="clear" w:color="auto" w:fill="F7F7F7"/>
          </w:tcPr>
          <w:p w14:paraId="4FABD40B" w14:textId="0FBFD51F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8A7A91" w:rsidRPr="008A7A91">
              <w:rPr>
                <w:rFonts w:eastAsia="Arial" w:cs="Times New Roman"/>
                <w:sz w:val="18"/>
              </w:rPr>
              <w:t>Recovered heat is the useful output after surplus heat has been captured and delivered to a sink. It is not automatically renewable or low-carbon.</w:t>
            </w:r>
          </w:p>
        </w:tc>
      </w:tr>
    </w:tbl>
    <w:p w14:paraId="29EC8F1C" w14:textId="5ABB46D9" w:rsidR="00780300" w:rsidRPr="00780300" w:rsidRDefault="00780300" w:rsidP="00780300">
      <w:pPr>
        <w:pStyle w:val="Heading3"/>
      </w:pPr>
      <w:r w:rsidRPr="00780300">
        <w:t xml:space="preserve">2. </w:t>
      </w:r>
      <w:r w:rsidR="008A7A91" w:rsidRPr="008A7A91">
        <w:t>What is the correct order of the heat-recovery hierarchy?</w:t>
      </w:r>
    </w:p>
    <w:p w14:paraId="028D59B4" w14:textId="77777777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A. Export heat first, then improve the process, then reduce heat generation.</w:t>
      </w:r>
    </w:p>
    <w:p w14:paraId="03B702C5" w14:textId="11CD3D00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 xml:space="preserve">B. </w:t>
      </w:r>
      <w:r w:rsidR="00C63635" w:rsidRPr="00C63635">
        <w:rPr>
          <w:rFonts w:cs="Times New Roman"/>
        </w:rPr>
        <w:t xml:space="preserve">Export surplus heat immediately, then reuse whatever remains on site, and only afterwards consider improving process efficiency.  </w:t>
      </w:r>
    </w:p>
    <w:p w14:paraId="1EF1F1C6" w14:textId="77777777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C. Avoid unnecessary heat generation, improve process efficiency, reuse heat on site, then export remaining heat.</w:t>
      </w:r>
    </w:p>
    <w:p w14:paraId="113B5918" w14:textId="0D3426AE" w:rsidR="00780300" w:rsidRPr="00780300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 xml:space="preserve">D. </w:t>
      </w:r>
      <w:r w:rsidR="00C63635" w:rsidRPr="00C63635">
        <w:rPr>
          <w:rFonts w:cs="Times New Roman"/>
        </w:rPr>
        <w:t xml:space="preserve">Recover heat from processes first, then try to reduce generation, and finally improve efficiency if time allows.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58229E5B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2CD5AF6F" w14:textId="71474A0B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8A7A91">
              <w:rPr>
                <w:rFonts w:eastAsia="Arial" w:cs="Times New Roman"/>
                <w:b/>
                <w:sz w:val="18"/>
              </w:rPr>
              <w:t>C</w:t>
            </w:r>
          </w:p>
        </w:tc>
        <w:tc>
          <w:tcPr>
            <w:tcW w:w="5112" w:type="dxa"/>
            <w:shd w:val="clear" w:color="auto" w:fill="F7F7F7"/>
          </w:tcPr>
          <w:p w14:paraId="1CB7F444" w14:textId="15D59F95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8A7A91" w:rsidRPr="008A7A91">
              <w:rPr>
                <w:rFonts w:eastAsia="Arial" w:cs="Times New Roman"/>
                <w:sz w:val="18"/>
              </w:rPr>
              <w:t>Avoidance and process efficiency come before on-site reuse and external export. This prevents heat recovery from becoming an excuse for avoidable waste.</w:t>
            </w:r>
          </w:p>
        </w:tc>
      </w:tr>
    </w:tbl>
    <w:p w14:paraId="4321F81A" w14:textId="328FDD99" w:rsidR="00780300" w:rsidRPr="00780300" w:rsidRDefault="00780300" w:rsidP="00780300">
      <w:pPr>
        <w:pStyle w:val="Heading3"/>
      </w:pPr>
      <w:r w:rsidRPr="00780300">
        <w:t xml:space="preserve">3. </w:t>
      </w:r>
      <w:r w:rsidR="008A7A91" w:rsidRPr="008A7A91">
        <w:t>A factory reports 5 MW of rejected heat at one operating point. What additional evidence is most important before estimating annual recoverable energy?</w:t>
      </w:r>
    </w:p>
    <w:p w14:paraId="0B61A976" w14:textId="342D8CC7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 xml:space="preserve">A. </w:t>
      </w:r>
      <w:r w:rsidR="00C63635" w:rsidRPr="00C63635">
        <w:rPr>
          <w:rFonts w:cs="Times New Roman"/>
        </w:rPr>
        <w:t>The instantaneous 5 MW value is enough to estimate annual recoverable energy, because rejected heat is usually constant throughout the year</w:t>
      </w:r>
      <w:r w:rsidR="00C63635">
        <w:rPr>
          <w:rFonts w:cs="Times New Roman"/>
        </w:rPr>
        <w:t>.</w:t>
      </w:r>
    </w:p>
    <w:p w14:paraId="43F03375" w14:textId="70F2F853" w:rsidR="00C63635" w:rsidRDefault="008A7A91" w:rsidP="00C63635">
      <w:pPr>
        <w:pStyle w:val="NoSpacing"/>
        <w:rPr>
          <w:rFonts w:cs="Times New Roman"/>
        </w:rPr>
      </w:pPr>
      <w:r w:rsidRPr="008A7A91">
        <w:rPr>
          <w:rFonts w:cs="Times New Roman"/>
        </w:rPr>
        <w:t xml:space="preserve">B. </w:t>
      </w:r>
      <w:r w:rsidR="00C63635" w:rsidRPr="00C63635">
        <w:rPr>
          <w:rFonts w:cs="Times New Roman"/>
        </w:rPr>
        <w:t>the factory’s annual production volume</w:t>
      </w:r>
      <w:r w:rsidR="00C63635">
        <w:rPr>
          <w:rFonts w:cs="Times New Roman"/>
        </w:rPr>
        <w:t>.</w:t>
      </w:r>
    </w:p>
    <w:p w14:paraId="18FCC2D1" w14:textId="556FFAAA" w:rsidR="008A7A91" w:rsidRPr="008A7A91" w:rsidRDefault="008A7A91" w:rsidP="00C63635">
      <w:pPr>
        <w:pStyle w:val="NoSpacing"/>
        <w:rPr>
          <w:rFonts w:cs="Times New Roman"/>
        </w:rPr>
      </w:pPr>
      <w:r w:rsidRPr="008A7A91">
        <w:rPr>
          <w:rFonts w:cs="Times New Roman"/>
        </w:rPr>
        <w:t xml:space="preserve">C. </w:t>
      </w:r>
      <w:r w:rsidR="00C63635" w:rsidRPr="008A7A91">
        <w:rPr>
          <w:rFonts w:cs="Times New Roman"/>
        </w:rPr>
        <w:t>Operating hours, part-load profile, shutdowns and the fraction that can technically be recovered.</w:t>
      </w:r>
    </w:p>
    <w:p w14:paraId="44D72BE6" w14:textId="33CA78A9" w:rsidR="00780300" w:rsidRPr="00780300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D. Only the peak district-heating tariff.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1410ED84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0DBBE276" w14:textId="264B6901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C63635">
              <w:rPr>
                <w:rFonts w:eastAsia="Arial" w:cs="Times New Roman"/>
                <w:b/>
                <w:sz w:val="18"/>
              </w:rPr>
              <w:t>C</w:t>
            </w:r>
          </w:p>
        </w:tc>
        <w:tc>
          <w:tcPr>
            <w:tcW w:w="5112" w:type="dxa"/>
            <w:shd w:val="clear" w:color="auto" w:fill="F7F7F7"/>
          </w:tcPr>
          <w:p w14:paraId="7BEB7C6A" w14:textId="4BB0CF39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8A7A91" w:rsidRPr="008A7A91">
              <w:rPr>
                <w:rFonts w:eastAsia="Arial" w:cs="Times New Roman"/>
                <w:sz w:val="18"/>
              </w:rPr>
              <w:t>Annual energy depends on the source profile, operating hours, availability and technically recoverable fraction, not only on peak power.</w:t>
            </w:r>
          </w:p>
        </w:tc>
      </w:tr>
    </w:tbl>
    <w:p w14:paraId="68748FEE" w14:textId="7CEFC02C" w:rsidR="00780300" w:rsidRPr="00780300" w:rsidRDefault="00780300" w:rsidP="00780300">
      <w:pPr>
        <w:pStyle w:val="Heading3"/>
      </w:pPr>
      <w:r w:rsidRPr="00780300">
        <w:t xml:space="preserve">4. </w:t>
      </w:r>
      <w:r w:rsidR="008A7A91" w:rsidRPr="008A7A91">
        <w:t>Which sequence correctly narrows a waste-heat opportunity from the broadest to the most realistic potential?</w:t>
      </w:r>
    </w:p>
    <w:p w14:paraId="35B4CCFB" w14:textId="77777777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A. Economic → usable → technically recoverable → theoretical.</w:t>
      </w:r>
    </w:p>
    <w:p w14:paraId="74287D11" w14:textId="77777777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B. Theoretical → technically recoverable → usable/integrable → economic.</w:t>
      </w:r>
    </w:p>
    <w:p w14:paraId="5052E4BE" w14:textId="77777777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C. Usable → theoretical → economic → technically recoverable.</w:t>
      </w:r>
    </w:p>
    <w:p w14:paraId="5647445D" w14:textId="171E38B3" w:rsidR="00780300" w:rsidRPr="00780300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D. All four terms mean the same quantity.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1"/>
        <w:gridCol w:w="4827"/>
      </w:tblGrid>
      <w:tr w:rsidR="00780300" w:rsidRPr="00780300" w14:paraId="22A1C50C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07167875" w14:textId="0B7D549A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8A7A91">
              <w:rPr>
                <w:rFonts w:eastAsia="Arial" w:cs="Times New Roman"/>
                <w:b/>
                <w:sz w:val="18"/>
              </w:rPr>
              <w:t>B</w:t>
            </w:r>
          </w:p>
        </w:tc>
        <w:tc>
          <w:tcPr>
            <w:tcW w:w="5112" w:type="dxa"/>
            <w:shd w:val="clear" w:color="auto" w:fill="F7F7F7"/>
          </w:tcPr>
          <w:p w14:paraId="0417DDB9" w14:textId="6C1A973F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8A7A91" w:rsidRPr="008A7A91">
              <w:rPr>
                <w:rFonts w:eastAsia="Arial" w:cs="Times New Roman"/>
                <w:sz w:val="18"/>
              </w:rPr>
              <w:t>Theoretical potential is narrowed by technical constraints, sink and network compatibility, and finally economic and risk criteria.</w:t>
            </w:r>
          </w:p>
        </w:tc>
      </w:tr>
    </w:tbl>
    <w:p w14:paraId="331111BC" w14:textId="276BF790" w:rsidR="00780300" w:rsidRPr="00780300" w:rsidRDefault="00780300" w:rsidP="00780300">
      <w:pPr>
        <w:pStyle w:val="Heading3"/>
      </w:pPr>
      <w:r w:rsidRPr="00780300">
        <w:t xml:space="preserve">5. </w:t>
      </w:r>
      <w:r w:rsidR="008A7A91" w:rsidRPr="008A7A91">
        <w:t>What does “direct use” of recovered heat mean?</w:t>
      </w:r>
    </w:p>
    <w:p w14:paraId="61DD36DA" w14:textId="11F6B6AD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 xml:space="preserve">A. </w:t>
      </w:r>
      <w:r w:rsidR="00C63635">
        <w:rPr>
          <w:rFonts w:cs="Times New Roman"/>
        </w:rPr>
        <w:t>T</w:t>
      </w:r>
      <w:r w:rsidR="00C63635" w:rsidRPr="00C63635">
        <w:rPr>
          <w:rFonts w:cs="Times New Roman"/>
        </w:rPr>
        <w:t>he recovered heat can always be supplied straight into the process without any heat exchanger or temperature checks</w:t>
      </w:r>
    </w:p>
    <w:p w14:paraId="7E8E3A69" w14:textId="37D257EB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 xml:space="preserve">B. No pump is </w:t>
      </w:r>
      <w:r w:rsidR="00C63635">
        <w:rPr>
          <w:rFonts w:cs="Times New Roman"/>
        </w:rPr>
        <w:t>needed</w:t>
      </w:r>
      <w:r w:rsidRPr="008A7A91">
        <w:rPr>
          <w:rFonts w:cs="Times New Roman"/>
        </w:rPr>
        <w:t>.</w:t>
      </w:r>
    </w:p>
    <w:p w14:paraId="3163B998" w14:textId="77777777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C. The heat can meet the sink temperature without heat-pump boosting, although a heat exchanger may still separate the circuits.</w:t>
      </w:r>
    </w:p>
    <w:p w14:paraId="14533FD7" w14:textId="4A327DF1" w:rsidR="00780300" w:rsidRPr="00780300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 xml:space="preserve">D. </w:t>
      </w:r>
      <w:r w:rsidR="00C63635">
        <w:rPr>
          <w:rFonts w:cs="Times New Roman"/>
        </w:rPr>
        <w:t>T</w:t>
      </w:r>
      <w:r w:rsidR="00C63635" w:rsidRPr="00C63635">
        <w:rPr>
          <w:rFonts w:cs="Times New Roman"/>
        </w:rPr>
        <w:t>he recovered heat is exported to the district‑heating network regardless of its temperature level</w:t>
      </w:r>
      <w:r w:rsidRPr="008A7A91">
        <w:rPr>
          <w:rFonts w:cs="Times New Roman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0444B40B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58C4D5FF" w14:textId="212BEE1C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8A7A91">
              <w:rPr>
                <w:rFonts w:eastAsia="Arial" w:cs="Times New Roman"/>
                <w:b/>
                <w:sz w:val="18"/>
              </w:rPr>
              <w:t>C</w:t>
            </w:r>
          </w:p>
        </w:tc>
        <w:tc>
          <w:tcPr>
            <w:tcW w:w="5112" w:type="dxa"/>
            <w:shd w:val="clear" w:color="auto" w:fill="F7F7F7"/>
          </w:tcPr>
          <w:p w14:paraId="12528F00" w14:textId="00ECA8E0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8A7A91" w:rsidRPr="008A7A91">
              <w:rPr>
                <w:rFonts w:eastAsia="Arial" w:cs="Times New Roman"/>
                <w:sz w:val="18"/>
              </w:rPr>
              <w:t>Direct use refers to no temperature boosting. Hydraulic separation with a heat exchanger may still be necessary.</w:t>
            </w:r>
          </w:p>
        </w:tc>
      </w:tr>
    </w:tbl>
    <w:p w14:paraId="75E5E390" w14:textId="77777777" w:rsidR="00780300" w:rsidRDefault="00780300" w:rsidP="00780300">
      <w:pPr>
        <w:pStyle w:val="Heading3"/>
        <w:rPr>
          <w:lang w:val="lv-LV"/>
        </w:rPr>
      </w:pPr>
    </w:p>
    <w:p w14:paraId="5ABBB095" w14:textId="3AE75D0E" w:rsidR="00780300" w:rsidRPr="00780300" w:rsidRDefault="00780300" w:rsidP="00780300">
      <w:pPr>
        <w:pStyle w:val="Heading3"/>
      </w:pPr>
      <w:r>
        <w:rPr>
          <w:lang w:val="lv-LV"/>
        </w:rPr>
        <w:br w:type="column"/>
      </w:r>
      <w:r w:rsidRPr="00780300">
        <w:lastRenderedPageBreak/>
        <w:t xml:space="preserve">6. </w:t>
      </w:r>
      <w:r w:rsidR="008A7A91" w:rsidRPr="008A7A91">
        <w:t>Why can return-line integration be disadvantageous?</w:t>
      </w:r>
    </w:p>
    <w:p w14:paraId="01DA43F3" w14:textId="77777777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A. It always prevents any heat recovery.</w:t>
      </w:r>
    </w:p>
    <w:p w14:paraId="0B55A9E4" w14:textId="77777777" w:rsidR="00C63635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 xml:space="preserve">B. </w:t>
      </w:r>
      <w:r w:rsidR="00C63635">
        <w:rPr>
          <w:rFonts w:cs="Times New Roman"/>
        </w:rPr>
        <w:t>I</w:t>
      </w:r>
      <w:r w:rsidR="00C63635" w:rsidRPr="00C63635">
        <w:rPr>
          <w:rFonts w:cs="Times New Roman"/>
        </w:rPr>
        <w:t>t lowers the return temperature, forcing the plant to run at higher supply temperatures</w:t>
      </w:r>
    </w:p>
    <w:p w14:paraId="592DD86B" w14:textId="4538AC79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C.</w:t>
      </w:r>
      <w:r w:rsidR="00C63635">
        <w:rPr>
          <w:rFonts w:cs="Times New Roman"/>
        </w:rPr>
        <w:t xml:space="preserve"> </w:t>
      </w:r>
      <w:r w:rsidR="00C63635" w:rsidRPr="00C63635">
        <w:rPr>
          <w:rFonts w:cs="Times New Roman"/>
          <w:lang w:val="lv-LV"/>
        </w:rPr>
        <w:t>It reduces pumping energy by shortening the hydraulic path, which can unintentionally decrease heat‑pump efficiency</w:t>
      </w:r>
      <w:r w:rsidRPr="008A7A91">
        <w:rPr>
          <w:rFonts w:cs="Times New Roman"/>
        </w:rPr>
        <w:t>.</w:t>
      </w:r>
    </w:p>
    <w:p w14:paraId="0C67D9E4" w14:textId="0DAE89A6" w:rsidR="00780300" w:rsidRPr="00780300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 xml:space="preserve">D. </w:t>
      </w:r>
      <w:r w:rsidR="00C63635" w:rsidRPr="008A7A91">
        <w:rPr>
          <w:rFonts w:cs="Times New Roman"/>
        </w:rPr>
        <w:t>It can raise plant return temperature, reduce network ΔT and affect condensing, heat-pump or CHP performance.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3"/>
        <w:gridCol w:w="4825"/>
      </w:tblGrid>
      <w:tr w:rsidR="00780300" w:rsidRPr="00780300" w14:paraId="7067B7ED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071EB003" w14:textId="79EFFA3D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C63635">
              <w:rPr>
                <w:rFonts w:eastAsia="Arial" w:cs="Times New Roman"/>
                <w:b/>
                <w:sz w:val="18"/>
              </w:rPr>
              <w:t>D</w:t>
            </w:r>
          </w:p>
        </w:tc>
        <w:tc>
          <w:tcPr>
            <w:tcW w:w="5112" w:type="dxa"/>
            <w:shd w:val="clear" w:color="auto" w:fill="F7F7F7"/>
          </w:tcPr>
          <w:p w14:paraId="3F530EB3" w14:textId="5041556C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8A7A91" w:rsidRPr="008A7A91">
              <w:rPr>
                <w:rFonts w:eastAsia="Arial" w:cs="Times New Roman"/>
                <w:sz w:val="18"/>
              </w:rPr>
              <w:t>Return-line heat can preheat water but may worsen plant return conditions, reduce ΔT and affect source performance. The effect must be assessed system-wide.</w:t>
            </w:r>
          </w:p>
        </w:tc>
      </w:tr>
    </w:tbl>
    <w:p w14:paraId="5607E333" w14:textId="246BE546" w:rsidR="00780300" w:rsidRPr="00780300" w:rsidRDefault="00780300" w:rsidP="00780300">
      <w:pPr>
        <w:pStyle w:val="Heading3"/>
      </w:pPr>
      <w:r w:rsidRPr="00780300">
        <w:t xml:space="preserve">7. </w:t>
      </w:r>
      <w:r w:rsidR="008A7A91" w:rsidRPr="008A7A91">
        <w:t>Which statement about thermal storage is correct?</w:t>
      </w:r>
    </w:p>
    <w:p w14:paraId="6E139D5C" w14:textId="77777777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A. Storage can shift heat in time but cannot correct an unsuitable source temperature or guarantee long-term source availability.</w:t>
      </w:r>
    </w:p>
    <w:p w14:paraId="0188B9D4" w14:textId="77777777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B. Storage creates additional annual heat energy.</w:t>
      </w:r>
    </w:p>
    <w:p w14:paraId="754DA09A" w14:textId="77777777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C. Storage removes the need to match source and demand profiles.</w:t>
      </w:r>
    </w:p>
    <w:p w14:paraId="27183C31" w14:textId="3E1722B1" w:rsidR="00780300" w:rsidRPr="00780300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D. Storage always makes a project economic.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67EA938E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67C9D95F" w14:textId="413BF884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950941">
              <w:rPr>
                <w:rFonts w:eastAsia="Arial" w:cs="Times New Roman"/>
                <w:b/>
                <w:sz w:val="18"/>
              </w:rPr>
              <w:t>A</w:t>
            </w:r>
          </w:p>
        </w:tc>
        <w:tc>
          <w:tcPr>
            <w:tcW w:w="5112" w:type="dxa"/>
            <w:shd w:val="clear" w:color="auto" w:fill="F7F7F7"/>
          </w:tcPr>
          <w:p w14:paraId="45A50CD8" w14:textId="4A5DF46B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8A7A91" w:rsidRPr="008A7A91">
              <w:rPr>
                <w:rFonts w:eastAsia="Arial" w:cs="Times New Roman"/>
                <w:sz w:val="18"/>
              </w:rPr>
              <w:t>Storage changes timing. It does not create annual energy, raise an unsuitable source temperature by itself or remove source-lifetime risk.</w:t>
            </w:r>
          </w:p>
        </w:tc>
      </w:tr>
    </w:tbl>
    <w:p w14:paraId="2D2BADAA" w14:textId="41A1C564" w:rsidR="00780300" w:rsidRPr="00780300" w:rsidRDefault="00780300" w:rsidP="00780300">
      <w:pPr>
        <w:pStyle w:val="Heading3"/>
      </w:pPr>
      <w:r w:rsidRPr="00780300">
        <w:t xml:space="preserve">8. </w:t>
      </w:r>
      <w:r w:rsidR="008A7A91" w:rsidRPr="008A7A91">
        <w:t>What is the most important protection principle for data-centre heat recovery?</w:t>
      </w:r>
    </w:p>
    <w:p w14:paraId="2DEA4522" w14:textId="77777777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A. The district-heating network should control the servers directly.</w:t>
      </w:r>
    </w:p>
    <w:p w14:paraId="0F6AEC7E" w14:textId="77777777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B. Heat export must never compromise data-centre cooling or server availability, and independent heat rejection must remain available.</w:t>
      </w:r>
    </w:p>
    <w:p w14:paraId="13FF47A9" w14:textId="77777777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C. The data centre should stop cooling whenever network demand is low.</w:t>
      </w:r>
    </w:p>
    <w:p w14:paraId="5F2A68E4" w14:textId="436CE67A" w:rsidR="00780300" w:rsidRPr="00780300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D. The recovery system should operate without metering to avoid delays.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7318B724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7906E611" w14:textId="549BFA93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950941">
              <w:rPr>
                <w:rFonts w:eastAsia="Arial" w:cs="Times New Roman"/>
                <w:b/>
                <w:sz w:val="18"/>
              </w:rPr>
              <w:t>B</w:t>
            </w:r>
          </w:p>
        </w:tc>
        <w:tc>
          <w:tcPr>
            <w:tcW w:w="5112" w:type="dxa"/>
            <w:shd w:val="clear" w:color="auto" w:fill="F7F7F7"/>
          </w:tcPr>
          <w:p w14:paraId="18B501F4" w14:textId="14E8E2F5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8A7A91" w:rsidRPr="008A7A91">
              <w:rPr>
                <w:rFonts w:eastAsia="Arial" w:cs="Times New Roman"/>
                <w:sz w:val="18"/>
              </w:rPr>
              <w:t>The host process remains the priority. The data centre must be able to reject heat safely even when the network or recovery system is unavailable.</w:t>
            </w:r>
          </w:p>
        </w:tc>
      </w:tr>
    </w:tbl>
    <w:p w14:paraId="1636E78D" w14:textId="37857CEA" w:rsidR="00780300" w:rsidRPr="00780300" w:rsidRDefault="00780300" w:rsidP="00780300">
      <w:pPr>
        <w:pStyle w:val="Heading3"/>
      </w:pPr>
      <w:r w:rsidRPr="00780300">
        <w:t xml:space="preserve">9. </w:t>
      </w:r>
      <w:r w:rsidR="008A7A91" w:rsidRPr="008A7A91">
        <w:t>Which is a key technical risk for wastewater heat recovery?</w:t>
      </w:r>
    </w:p>
    <w:p w14:paraId="138A90CE" w14:textId="77777777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A. Excessively high solar irradiance.</w:t>
      </w:r>
    </w:p>
    <w:p w14:paraId="45E1F007" w14:textId="77777777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B. Fouling, blockage, corrosion and limits on the minimum wastewater discharge temperature.</w:t>
      </w:r>
    </w:p>
    <w:p w14:paraId="07C20813" w14:textId="77777777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C. Lack of any need for hydraulic separation.</w:t>
      </w:r>
    </w:p>
    <w:p w14:paraId="474FFC46" w14:textId="39BC77FA" w:rsidR="00780300" w:rsidRPr="00780300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D. Wastewater temperature is always high enough for direct network supply.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3"/>
        <w:gridCol w:w="4825"/>
      </w:tblGrid>
      <w:tr w:rsidR="00780300" w:rsidRPr="00780300" w14:paraId="389750DB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628DD195" w14:textId="2347832B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8A7A91">
              <w:rPr>
                <w:rFonts w:eastAsia="Arial" w:cs="Times New Roman"/>
                <w:b/>
                <w:sz w:val="18"/>
              </w:rPr>
              <w:t>B</w:t>
            </w:r>
          </w:p>
        </w:tc>
        <w:tc>
          <w:tcPr>
            <w:tcW w:w="5112" w:type="dxa"/>
            <w:shd w:val="clear" w:color="auto" w:fill="F7F7F7"/>
          </w:tcPr>
          <w:p w14:paraId="75AE3E42" w14:textId="4E50CAB2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8A7A91" w:rsidRPr="008A7A91">
              <w:rPr>
                <w:rFonts w:eastAsia="Arial" w:cs="Times New Roman"/>
                <w:sz w:val="18"/>
              </w:rPr>
              <w:t>Wastewater systems require fouling control, corrosion management, maintenance access and compliance with temperature and treatment constraints.</w:t>
            </w:r>
          </w:p>
        </w:tc>
      </w:tr>
    </w:tbl>
    <w:p w14:paraId="2005A42C" w14:textId="2E8B5C36" w:rsidR="00780300" w:rsidRPr="00780300" w:rsidRDefault="00780300" w:rsidP="00780300">
      <w:pPr>
        <w:pStyle w:val="Heading3"/>
      </w:pPr>
      <w:r w:rsidRPr="00780300">
        <w:t xml:space="preserve">10. </w:t>
      </w:r>
      <w:r w:rsidR="008A7A91" w:rsidRPr="008A7A91">
        <w:t>A heat-recovery system shows “source available”, an active export command and zero flow. What is the best first response?</w:t>
      </w:r>
    </w:p>
    <w:p w14:paraId="2F22226D" w14:textId="17E92F1F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 xml:space="preserve">A. </w:t>
      </w:r>
      <w:r w:rsidR="00C63635">
        <w:rPr>
          <w:rFonts w:cs="Times New Roman"/>
        </w:rPr>
        <w:t>T</w:t>
      </w:r>
      <w:r w:rsidR="00C63635" w:rsidRPr="00C63635">
        <w:rPr>
          <w:rFonts w:cs="Times New Roman"/>
        </w:rPr>
        <w:t xml:space="preserve">he heat source has temporarily paused to protect itself, so operators should wait for automatic restart rather than inspect valves or pumps.  </w:t>
      </w:r>
    </w:p>
    <w:p w14:paraId="7159958E" w14:textId="77777777" w:rsidR="00C63635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 xml:space="preserve">B. </w:t>
      </w:r>
      <w:r w:rsidR="00C63635">
        <w:rPr>
          <w:rFonts w:cs="Times New Roman"/>
        </w:rPr>
        <w:t>T</w:t>
      </w:r>
      <w:r w:rsidR="00C63635" w:rsidRPr="00C63635">
        <w:rPr>
          <w:rFonts w:cs="Times New Roman"/>
        </w:rPr>
        <w:t xml:space="preserve">he storage tank is full, so the system correctly blocks circulation even when export is commanded.  </w:t>
      </w:r>
    </w:p>
    <w:p w14:paraId="5C9B3F3B" w14:textId="08384271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C. Confirm operating mode, compare command and equipment response, check valves/pumps, verify flow direction and review active interlocks or alarms.</w:t>
      </w:r>
    </w:p>
    <w:p w14:paraId="3C638ABC" w14:textId="38FEDC3A" w:rsidR="00780300" w:rsidRPr="00780300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 xml:space="preserve">D. </w:t>
      </w:r>
      <w:r w:rsidR="00C63635" w:rsidRPr="00C63635">
        <w:rPr>
          <w:rFonts w:cs="Times New Roman"/>
        </w:rPr>
        <w:t>Zero flow during an active export command means the system is already exporting at maximum efficiency, so no further checks are needed.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69DA4104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51CE152E" w14:textId="0556487C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8A7A91">
              <w:rPr>
                <w:rFonts w:eastAsia="Arial" w:cs="Times New Roman"/>
                <w:b/>
                <w:sz w:val="18"/>
              </w:rPr>
              <w:t>C</w:t>
            </w:r>
          </w:p>
        </w:tc>
        <w:tc>
          <w:tcPr>
            <w:tcW w:w="5112" w:type="dxa"/>
            <w:shd w:val="clear" w:color="auto" w:fill="F7F7F7"/>
          </w:tcPr>
          <w:p w14:paraId="6A0F591B" w14:textId="52E75079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8A7A91" w:rsidRPr="008A7A91">
              <w:rPr>
                <w:rFonts w:eastAsia="Arial" w:cs="Times New Roman"/>
                <w:sz w:val="18"/>
              </w:rPr>
              <w:t>The first step is to validate the operating state and compare control intent with physical response before replacing equipment or claiming a root cause.</w:t>
            </w:r>
          </w:p>
        </w:tc>
      </w:tr>
    </w:tbl>
    <w:p w14:paraId="533299F9" w14:textId="77777777" w:rsidR="00780300" w:rsidRDefault="00780300" w:rsidP="00780300">
      <w:pPr>
        <w:pStyle w:val="Heading3"/>
      </w:pPr>
    </w:p>
    <w:p w14:paraId="74FD18FB" w14:textId="3CB6AD24" w:rsidR="00780300" w:rsidRPr="00780300" w:rsidRDefault="00780300" w:rsidP="00780300">
      <w:pPr>
        <w:pStyle w:val="Heading3"/>
      </w:pPr>
      <w:r>
        <w:br w:type="column"/>
      </w:r>
      <w:r w:rsidRPr="00780300">
        <w:lastRenderedPageBreak/>
        <w:t xml:space="preserve">11. </w:t>
      </w:r>
      <w:r w:rsidR="008A7A91" w:rsidRPr="008A7A91">
        <w:t>A source can provide 2 MW whenever it is operating. If availability is 90% of the year, what is the maximum source-side annual energy before network-demand limits, storage losses and equipment downtime?</w:t>
      </w:r>
    </w:p>
    <w:p w14:paraId="63591002" w14:textId="77777777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A. 1,752 MWh/year</w:t>
      </w:r>
    </w:p>
    <w:p w14:paraId="6AC8003B" w14:textId="77777777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B. 8,760 MWh/year</w:t>
      </w:r>
    </w:p>
    <w:p w14:paraId="15BDB9AB" w14:textId="77777777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C. 15,768 MWh/year</w:t>
      </w:r>
    </w:p>
    <w:p w14:paraId="08CB3384" w14:textId="2A888DB2" w:rsidR="00780300" w:rsidRPr="00780300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D. 17,520 MWh/year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47208987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76840FFD" w14:textId="27A9B225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8A7A91">
              <w:rPr>
                <w:rFonts w:eastAsia="Arial" w:cs="Times New Roman"/>
                <w:b/>
                <w:sz w:val="18"/>
              </w:rPr>
              <w:t>C</w:t>
            </w:r>
          </w:p>
        </w:tc>
        <w:tc>
          <w:tcPr>
            <w:tcW w:w="5112" w:type="dxa"/>
            <w:shd w:val="clear" w:color="auto" w:fill="F7F7F7"/>
          </w:tcPr>
          <w:p w14:paraId="4366503A" w14:textId="67411E36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8A7A91" w:rsidRPr="008A7A91">
              <w:rPr>
                <w:rFonts w:eastAsia="Arial" w:cs="Times New Roman"/>
                <w:sz w:val="18"/>
              </w:rPr>
              <w:t>2 MW × 8,760 h/year × 0.90 = 15,768 MWh/year. This is only a maximum source-side estimate; usable delivery may be lower.</w:t>
            </w:r>
          </w:p>
        </w:tc>
      </w:tr>
    </w:tbl>
    <w:p w14:paraId="71D33C2E" w14:textId="078ACE2C" w:rsidR="00780300" w:rsidRPr="00780300" w:rsidRDefault="00780300" w:rsidP="006703D5">
      <w:pPr>
        <w:pStyle w:val="Heading3"/>
      </w:pPr>
      <w:r w:rsidRPr="00780300">
        <w:t xml:space="preserve">12. </w:t>
      </w:r>
      <w:r w:rsidR="008A7A91" w:rsidRPr="008A7A91">
        <w:t>Applied case: a data centre offers 2 MW of source-side heat at 30°C to a 70/40°C district-heating network. Which recommendation is most appropriate at initial screening</w:t>
      </w:r>
      <w:r w:rsidR="00CD0D77" w:rsidRPr="00CD0D77">
        <w:t>?</w:t>
      </w:r>
    </w:p>
    <w:p w14:paraId="54CA55BB" w14:textId="34539DC8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 xml:space="preserve">A. Approve </w:t>
      </w:r>
      <w:r w:rsidR="00C63635">
        <w:rPr>
          <w:rFonts w:cs="Times New Roman"/>
        </w:rPr>
        <w:t xml:space="preserve">the project </w:t>
      </w:r>
      <w:r w:rsidRPr="008A7A91">
        <w:rPr>
          <w:rFonts w:cs="Times New Roman"/>
        </w:rPr>
        <w:t>because 30°C exceeds the network return temperature in all conditions.</w:t>
      </w:r>
    </w:p>
    <w:p w14:paraId="7147BEF9" w14:textId="41A242D6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 xml:space="preserve">B. </w:t>
      </w:r>
      <w:r w:rsidR="00C63635" w:rsidRPr="00C63635">
        <w:rPr>
          <w:rFonts w:cs="Times New Roman"/>
        </w:rPr>
        <w:t>Reject the opportunity immediately, because 30 °C heat can never be upgraded efficiently to 70 °C in practice.</w:t>
      </w:r>
    </w:p>
    <w:p w14:paraId="687640B4" w14:textId="77777777" w:rsidR="008A7A91" w:rsidRPr="008A7A91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>C. Proceed to detailed feasibility study for a heat-pump-based connection, subject to source/load profiles, temperature approach, electricity use, curtailment, backup heat rejection, distance and commercial responsibilities.</w:t>
      </w:r>
    </w:p>
    <w:p w14:paraId="7EFFD86A" w14:textId="7A7ACB77" w:rsidR="00780300" w:rsidRPr="00780300" w:rsidRDefault="008A7A91" w:rsidP="008A7A91">
      <w:pPr>
        <w:pStyle w:val="NoSpacing"/>
        <w:rPr>
          <w:rFonts w:cs="Times New Roman"/>
        </w:rPr>
      </w:pPr>
      <w:r w:rsidRPr="008A7A91">
        <w:rPr>
          <w:rFonts w:cs="Times New Roman"/>
        </w:rPr>
        <w:t xml:space="preserve">D. </w:t>
      </w:r>
      <w:r w:rsidR="00C63635" w:rsidRPr="00C63635">
        <w:rPr>
          <w:rFonts w:cs="Times New Roman"/>
        </w:rPr>
        <w:t xml:space="preserve">Propose exporting the 30 °C heat only during summer, when the district‑heating network is not operating and temperature constraints are relaxed.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04"/>
        <w:gridCol w:w="4824"/>
      </w:tblGrid>
      <w:tr w:rsidR="00780300" w:rsidRPr="00780300" w14:paraId="06A13B85" w14:textId="77777777" w:rsidTr="009E1523">
        <w:trPr>
          <w:jc w:val="center"/>
        </w:trPr>
        <w:tc>
          <w:tcPr>
            <w:tcW w:w="5112" w:type="dxa"/>
            <w:shd w:val="clear" w:color="auto" w:fill="E2F0D9"/>
          </w:tcPr>
          <w:p w14:paraId="381E5551" w14:textId="585DB61A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b/>
                <w:sz w:val="18"/>
              </w:rPr>
              <w:t xml:space="preserve">Answer: </w:t>
            </w:r>
            <w:r w:rsidR="008A7A91">
              <w:rPr>
                <w:rFonts w:eastAsia="Arial" w:cs="Times New Roman"/>
                <w:b/>
                <w:sz w:val="18"/>
              </w:rPr>
              <w:t>C</w:t>
            </w:r>
          </w:p>
        </w:tc>
        <w:tc>
          <w:tcPr>
            <w:tcW w:w="5112" w:type="dxa"/>
            <w:shd w:val="clear" w:color="auto" w:fill="F7F7F7"/>
          </w:tcPr>
          <w:p w14:paraId="7EBBD32C" w14:textId="29E5CFB9" w:rsidR="00780300" w:rsidRPr="00780300" w:rsidRDefault="00780300" w:rsidP="009E1523">
            <w:pPr>
              <w:spacing w:after="40"/>
              <w:rPr>
                <w:rFonts w:cs="Times New Roman"/>
              </w:rPr>
            </w:pPr>
            <w:r w:rsidRPr="00780300">
              <w:rPr>
                <w:rFonts w:eastAsia="Arial" w:cs="Times New Roman"/>
                <w:sz w:val="18"/>
              </w:rPr>
              <w:t xml:space="preserve">Explanation: </w:t>
            </w:r>
            <w:r w:rsidR="008A7A91" w:rsidRPr="008A7A91">
              <w:rPr>
                <w:rFonts w:eastAsia="Arial" w:cs="Times New Roman"/>
                <w:sz w:val="18"/>
              </w:rPr>
              <w:t>At 30°C the source cannot normally meet a 70°C supply requirement directly. A heat pump is plausible, but the project still needs detailed technical, operational and commercial evidence.</w:t>
            </w:r>
          </w:p>
        </w:tc>
      </w:tr>
    </w:tbl>
    <w:p w14:paraId="17DD0640" w14:textId="6769E057" w:rsidR="00F20775" w:rsidRPr="00780300" w:rsidRDefault="00F20775" w:rsidP="008A7A91">
      <w:pPr>
        <w:pStyle w:val="Heading3"/>
      </w:pPr>
    </w:p>
    <w:sectPr w:rsidR="00F20775" w:rsidRPr="00780300" w:rsidSect="00AC3070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777ED" w14:textId="77777777" w:rsidR="00131DAD" w:rsidRDefault="00131DAD" w:rsidP="00AC3070">
      <w:pPr>
        <w:spacing w:line="240" w:lineRule="auto"/>
      </w:pPr>
      <w:r>
        <w:separator/>
      </w:r>
    </w:p>
  </w:endnote>
  <w:endnote w:type="continuationSeparator" w:id="0">
    <w:p w14:paraId="3E6291FD" w14:textId="77777777" w:rsidR="00131DAD" w:rsidRDefault="00131DAD" w:rsidP="00AC30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66C12" w14:textId="1DBD53ED" w:rsidR="00AC3070" w:rsidRPr="004B45C1" w:rsidRDefault="00000000" w:rsidP="004B45C1">
    <w:pPr>
      <w:pStyle w:val="Footer"/>
      <w:jc w:val="right"/>
      <w:rPr>
        <w:lang w:val="en-US"/>
      </w:rPr>
    </w:pPr>
    <w:sdt>
      <w:sdtPr>
        <w:id w:val="-662635125"/>
        <w:docPartObj>
          <w:docPartGallery w:val="Page Numbers (Bottom of Page)"/>
          <w:docPartUnique/>
        </w:docPartObj>
      </w:sdtPr>
      <w:sdtContent>
        <w:r w:rsidR="004B45C1">
          <w:fldChar w:fldCharType="begin"/>
        </w:r>
        <w:r w:rsidR="004B45C1">
          <w:instrText>PAGE   \* MERGEFORMAT</w:instrText>
        </w:r>
        <w:r w:rsidR="004B45C1">
          <w:fldChar w:fldCharType="separate"/>
        </w:r>
        <w:r w:rsidR="004B45C1">
          <w:t>1</w:t>
        </w:r>
        <w:r w:rsidR="004B45C1">
          <w:fldChar w:fldCharType="end"/>
        </w:r>
      </w:sdtContent>
    </w:sdt>
    <w:r w:rsidR="004B45C1">
      <w:tab/>
    </w:r>
    <w:r w:rsidR="004B45C1">
      <w:rPr>
        <w:lang w:val="en-US"/>
      </w:rPr>
      <w:t>RepowerRegions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C2FAD" w14:textId="77777777" w:rsidR="00131DAD" w:rsidRDefault="00131DAD" w:rsidP="00AC3070">
      <w:pPr>
        <w:spacing w:line="240" w:lineRule="auto"/>
      </w:pPr>
      <w:r>
        <w:separator/>
      </w:r>
    </w:p>
  </w:footnote>
  <w:footnote w:type="continuationSeparator" w:id="0">
    <w:p w14:paraId="7EE247D8" w14:textId="77777777" w:rsidR="00131DAD" w:rsidRDefault="00131DAD" w:rsidP="00AC30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6A6B3" w14:textId="74C44E9A" w:rsidR="00997DC8" w:rsidRDefault="00AC3070" w:rsidP="00997DC8">
    <w:pPr>
      <w:tabs>
        <w:tab w:val="right" w:pos="9638"/>
      </w:tabs>
      <w:spacing w:line="240" w:lineRule="auto"/>
      <w:jc w:val="left"/>
      <w:rPr>
        <w:rFonts w:eastAsia="Times New Roman" w:cs="Times New Roman"/>
        <w:lang w:val="en-GB" w:eastAsia="lv-LV"/>
      </w:rPr>
    </w:pPr>
    <w:r w:rsidRPr="00997DC8">
      <w:rPr>
        <w:rFonts w:eastAsia="Times New Roman" w:cs="Times New Roman"/>
        <w:lang w:val="en-US" w:eastAsia="lv-LV"/>
      </w:rPr>
      <w:t xml:space="preserve">Module 4. </w:t>
    </w:r>
    <w:r w:rsidRPr="00997DC8">
      <w:rPr>
        <w:lang w:val="en-US" w:eastAsia="lv-LV"/>
      </w:rPr>
      <w:t>Integrating with District ​&amp; Renewable Heat ​</w:t>
    </w:r>
    <w:r w:rsidR="00997DC8" w:rsidRPr="00997DC8">
      <w:rPr>
        <w:rFonts w:eastAsia="Times New Roman" w:cs="Times New Roman"/>
        <w:lang w:val="en-US" w:eastAsia="lv-LV"/>
      </w:rPr>
      <w:t xml:space="preserve"> </w:t>
    </w:r>
    <w:r w:rsidR="00997DC8" w:rsidRPr="00997DC8">
      <w:rPr>
        <w:rFonts w:eastAsia="Times New Roman" w:cs="Times New Roman"/>
        <w:lang w:val="en-US" w:eastAsia="lv-LV"/>
      </w:rPr>
      <w:tab/>
    </w:r>
    <w:r w:rsidR="00780300">
      <w:rPr>
        <w:rFonts w:eastAsia="Times New Roman" w:cs="Times New Roman"/>
        <w:lang w:val="en-US" w:eastAsia="lv-LV"/>
      </w:rPr>
      <w:t>QUIZ</w:t>
    </w:r>
    <w:r w:rsidRPr="00997DC8">
      <w:rPr>
        <w:lang w:val="en-US" w:eastAsia="lv-LV"/>
      </w:rPr>
      <w:br/>
    </w:r>
    <w:r w:rsidR="008A7A91" w:rsidRPr="006E5E04">
      <w:rPr>
        <w:rFonts w:eastAsia="Times New Roman" w:cs="Times New Roman"/>
        <w:lang w:val="en-GB" w:eastAsia="lv-LV"/>
      </w:rPr>
      <w:t>Unit 5</w:t>
    </w:r>
    <w:r w:rsidR="008A7A91">
      <w:rPr>
        <w:rFonts w:eastAsia="Times New Roman" w:cs="Times New Roman"/>
        <w:lang w:val="en-GB" w:eastAsia="lv-LV"/>
      </w:rPr>
      <w:t>.</w:t>
    </w:r>
    <w:r w:rsidR="008A7A91" w:rsidRPr="006E5E04">
      <w:rPr>
        <w:rFonts w:eastAsia="Times New Roman" w:cs="Times New Roman"/>
        <w:lang w:val="en-GB" w:eastAsia="lv-LV"/>
      </w:rPr>
      <w:t xml:space="preserve"> Waste heat opportunities, monitoring, and applied integration scenario</w:t>
    </w:r>
  </w:p>
  <w:p w14:paraId="675C3659" w14:textId="77777777" w:rsidR="00997DC8" w:rsidRPr="00997DC8" w:rsidRDefault="00997DC8" w:rsidP="00997DC8">
    <w:pPr>
      <w:tabs>
        <w:tab w:val="right" w:pos="9638"/>
      </w:tabs>
      <w:spacing w:line="240" w:lineRule="auto"/>
      <w:jc w:val="left"/>
      <w:rPr>
        <w:rFonts w:eastAsia="Times New Roman" w:cs="Times New Roman"/>
        <w:lang w:val="en-US" w:eastAsia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2ACE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830020C"/>
    <w:multiLevelType w:val="hybridMultilevel"/>
    <w:tmpl w:val="2E909B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831B2"/>
    <w:multiLevelType w:val="hybridMultilevel"/>
    <w:tmpl w:val="7D2EE7D2"/>
    <w:lvl w:ilvl="0" w:tplc="0407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 w15:restartNumberingAfterBreak="0">
    <w:nsid w:val="4F803040"/>
    <w:multiLevelType w:val="multilevel"/>
    <w:tmpl w:val="86480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BA861C0"/>
    <w:multiLevelType w:val="multilevel"/>
    <w:tmpl w:val="A6D48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F12145"/>
    <w:multiLevelType w:val="hybridMultilevel"/>
    <w:tmpl w:val="5A18B87C"/>
    <w:lvl w:ilvl="0" w:tplc="A0C2C6A6">
      <w:numFmt w:val="bullet"/>
      <w:lvlText w:val="•"/>
      <w:lvlJc w:val="left"/>
      <w:pPr>
        <w:ind w:left="725" w:hanging="612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 w16cid:durableId="71395395">
    <w:abstractNumId w:val="4"/>
  </w:num>
  <w:num w:numId="2" w16cid:durableId="1021006593">
    <w:abstractNumId w:val="3"/>
  </w:num>
  <w:num w:numId="3" w16cid:durableId="2084064805">
    <w:abstractNumId w:val="1"/>
  </w:num>
  <w:num w:numId="4" w16cid:durableId="1005205438">
    <w:abstractNumId w:val="0"/>
  </w:num>
  <w:num w:numId="5" w16cid:durableId="863589302">
    <w:abstractNumId w:val="2"/>
  </w:num>
  <w:num w:numId="6" w16cid:durableId="12106555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825"/>
    <w:rsid w:val="00006D99"/>
    <w:rsid w:val="00095C22"/>
    <w:rsid w:val="000A2AE0"/>
    <w:rsid w:val="000C3CF0"/>
    <w:rsid w:val="00131DAD"/>
    <w:rsid w:val="0020685D"/>
    <w:rsid w:val="002A086B"/>
    <w:rsid w:val="002B495A"/>
    <w:rsid w:val="00317E41"/>
    <w:rsid w:val="003363F8"/>
    <w:rsid w:val="003A562B"/>
    <w:rsid w:val="003E3E7D"/>
    <w:rsid w:val="003F67B7"/>
    <w:rsid w:val="004002BD"/>
    <w:rsid w:val="004A3AD6"/>
    <w:rsid w:val="004B45C1"/>
    <w:rsid w:val="0057656B"/>
    <w:rsid w:val="005B0C2B"/>
    <w:rsid w:val="006703D5"/>
    <w:rsid w:val="007268B0"/>
    <w:rsid w:val="00780300"/>
    <w:rsid w:val="00824825"/>
    <w:rsid w:val="00896C49"/>
    <w:rsid w:val="008A7A91"/>
    <w:rsid w:val="00950941"/>
    <w:rsid w:val="00961A55"/>
    <w:rsid w:val="00997DC8"/>
    <w:rsid w:val="009C116A"/>
    <w:rsid w:val="009C3462"/>
    <w:rsid w:val="00A35A0F"/>
    <w:rsid w:val="00AC3070"/>
    <w:rsid w:val="00B17D53"/>
    <w:rsid w:val="00C244AC"/>
    <w:rsid w:val="00C63635"/>
    <w:rsid w:val="00C9129C"/>
    <w:rsid w:val="00CD0D77"/>
    <w:rsid w:val="00CF51A9"/>
    <w:rsid w:val="00D93BA7"/>
    <w:rsid w:val="00DB4F64"/>
    <w:rsid w:val="00DD0877"/>
    <w:rsid w:val="00E03E94"/>
    <w:rsid w:val="00EB0FF4"/>
    <w:rsid w:val="00F20775"/>
    <w:rsid w:val="00F275E3"/>
    <w:rsid w:val="00F35470"/>
    <w:rsid w:val="00F37C24"/>
    <w:rsid w:val="00F50DD8"/>
    <w:rsid w:val="00F618F8"/>
    <w:rsid w:val="00F74DDE"/>
    <w:rsid w:val="00F9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653719"/>
  <w15:chartTrackingRefBased/>
  <w15:docId w15:val="{20F34E66-4CAF-4B8C-BBA7-2FEF3F505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C22"/>
    <w:pPr>
      <w:spacing w:after="0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03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997DC8"/>
    <w:pPr>
      <w:spacing w:before="240" w:line="240" w:lineRule="auto"/>
      <w:jc w:val="center"/>
      <w:outlineLvl w:val="1"/>
    </w:pPr>
    <w:rPr>
      <w:rFonts w:eastAsia="Times New Roman" w:cs="Times New Roman"/>
      <w:b/>
      <w:bCs/>
      <w:sz w:val="28"/>
      <w:szCs w:val="40"/>
      <w:lang w:eastAsia="lv-LV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97DC8"/>
    <w:pPr>
      <w:jc w:val="left"/>
      <w:outlineLvl w:val="2"/>
    </w:pPr>
    <w:rPr>
      <w:sz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97DC8"/>
    <w:rPr>
      <w:rFonts w:ascii="Times New Roman" w:eastAsia="Times New Roman" w:hAnsi="Times New Roman" w:cs="Times New Roman"/>
      <w:b/>
      <w:bCs/>
      <w:sz w:val="28"/>
      <w:szCs w:val="40"/>
      <w:lang w:eastAsia="lv-LV"/>
    </w:rPr>
  </w:style>
  <w:style w:type="paragraph" w:customStyle="1" w:styleId="font-claude-response-body">
    <w:name w:val="font-claude-response-body"/>
    <w:basedOn w:val="Normal"/>
    <w:rsid w:val="00824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82482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C3070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val="de-DE" w:eastAsia="de-DE"/>
    </w:rPr>
  </w:style>
  <w:style w:type="paragraph" w:styleId="Header">
    <w:name w:val="header"/>
    <w:basedOn w:val="Normal"/>
    <w:link w:val="HeaderChar"/>
    <w:uiPriority w:val="99"/>
    <w:unhideWhenUsed/>
    <w:rsid w:val="00AC307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070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AC307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070"/>
    <w:rPr>
      <w:rFonts w:ascii="Times New Roman" w:hAnsi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997DC8"/>
    <w:rPr>
      <w:rFonts w:ascii="Times New Roman" w:eastAsia="Times New Roman" w:hAnsi="Times New Roman" w:cs="Times New Roman"/>
      <w:b/>
      <w:bCs/>
      <w:sz w:val="24"/>
      <w:szCs w:val="40"/>
      <w:lang w:val="en-US" w:eastAsia="lv-LV"/>
    </w:rPr>
  </w:style>
  <w:style w:type="paragraph" w:customStyle="1" w:styleId="GlossaryDefinition">
    <w:name w:val="Glossary Definition"/>
    <w:rsid w:val="00997DC8"/>
    <w:pPr>
      <w:spacing w:after="60" w:line="276" w:lineRule="auto"/>
    </w:pPr>
    <w:rPr>
      <w:rFonts w:ascii="Arial" w:eastAsia="Arial" w:hAnsi="Arial"/>
      <w:color w:val="202020"/>
      <w:sz w:val="21"/>
      <w:lang w:val="en-US"/>
    </w:rPr>
  </w:style>
  <w:style w:type="paragraph" w:styleId="NoSpacing">
    <w:name w:val="No Spacing"/>
    <w:aliases w:val="Text"/>
    <w:basedOn w:val="Normal"/>
    <w:uiPriority w:val="1"/>
    <w:qFormat/>
    <w:rsid w:val="00E03E94"/>
    <w:pPr>
      <w:ind w:left="113"/>
    </w:pPr>
    <w:rPr>
      <w:lang w:val="en-US" w:eastAsia="lv-LV"/>
    </w:rPr>
  </w:style>
  <w:style w:type="character" w:customStyle="1" w:styleId="Heading1Char">
    <w:name w:val="Heading 1 Char"/>
    <w:basedOn w:val="DefaultParagraphFont"/>
    <w:link w:val="Heading1"/>
    <w:uiPriority w:val="9"/>
    <w:rsid w:val="007803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Bullet">
    <w:name w:val="List Bullet"/>
    <w:basedOn w:val="Normal"/>
    <w:uiPriority w:val="99"/>
    <w:unhideWhenUsed/>
    <w:rsid w:val="00780300"/>
    <w:pPr>
      <w:numPr>
        <w:numId w:val="4"/>
      </w:numPr>
      <w:tabs>
        <w:tab w:val="clear" w:pos="360"/>
      </w:tabs>
      <w:spacing w:after="200" w:line="276" w:lineRule="auto"/>
      <w:ind w:left="0" w:firstLine="0"/>
      <w:contextualSpacing/>
      <w:jc w:val="left"/>
    </w:pPr>
    <w:rPr>
      <w:rFonts w:ascii="Arial" w:eastAsia="Arial" w:hAnsi="Arial"/>
      <w:sz w:val="20"/>
      <w:lang w:val="en-US"/>
    </w:rPr>
  </w:style>
  <w:style w:type="table" w:styleId="TableGrid">
    <w:name w:val="Table Grid"/>
    <w:basedOn w:val="TableNormal"/>
    <w:uiPriority w:val="59"/>
    <w:rsid w:val="00780300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0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2253C9AEBC71C47A227A4829C21DF97" ma:contentTypeVersion="12" ma:contentTypeDescription="Создание документа." ma:contentTypeScope="" ma:versionID="c08ecda7829650c9ca8e883389edc514">
  <xsd:schema xmlns:xsd="http://www.w3.org/2001/XMLSchema" xmlns:xs="http://www.w3.org/2001/XMLSchema" xmlns:p="http://schemas.microsoft.com/office/2006/metadata/properties" xmlns:ns2="6c6dc0c2-662f-483e-a2ac-c4906ac02010" xmlns:ns3="02ef16f0-a918-4a7c-ac07-b4517a8518d9" targetNamespace="http://schemas.microsoft.com/office/2006/metadata/properties" ma:root="true" ma:fieldsID="95b37ab51bf15cb650d477a5fdec67b1" ns2:_="" ns3:_="">
    <xsd:import namespace="6c6dc0c2-662f-483e-a2ac-c4906ac02010"/>
    <xsd:import namespace="02ef16f0-a918-4a7c-ac07-b4517a8518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6dc0c2-662f-483e-a2ac-c4906ac020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130c09f6-3d71-40eb-857e-9c2f3277be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f16f0-a918-4a7c-ac07-b4517a8518d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720744f-9884-408f-a7c8-a5d3396591a8}" ma:internalName="TaxCatchAll" ma:showField="CatchAllData" ma:web="02ef16f0-a918-4a7c-ac07-b4517a8518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6dc0c2-662f-483e-a2ac-c4906ac02010">
      <Terms xmlns="http://schemas.microsoft.com/office/infopath/2007/PartnerControls"/>
    </lcf76f155ced4ddcb4097134ff3c332f>
    <TaxCatchAll xmlns="02ef16f0-a918-4a7c-ac07-b4517a8518d9" xsi:nil="true"/>
  </documentManagement>
</p:properties>
</file>

<file path=customXml/itemProps1.xml><?xml version="1.0" encoding="utf-8"?>
<ds:datastoreItem xmlns:ds="http://schemas.openxmlformats.org/officeDocument/2006/customXml" ds:itemID="{B1183553-9FDE-4AF9-8854-59CE2331E534}"/>
</file>

<file path=customXml/itemProps2.xml><?xml version="1.0" encoding="utf-8"?>
<ds:datastoreItem xmlns:ds="http://schemas.openxmlformats.org/officeDocument/2006/customXml" ds:itemID="{FA081CC4-0704-4FD2-BA84-26A107191EAD}"/>
</file>

<file path=customXml/itemProps3.xml><?xml version="1.0" encoding="utf-8"?>
<ds:datastoreItem xmlns:ds="http://schemas.openxmlformats.org/officeDocument/2006/customXml" ds:itemID="{EAC52003-C9ED-4EED-9E2C-2F7FB4CC3C6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1009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Tambovceva</dc:creator>
  <cp:keywords/>
  <dc:description/>
  <cp:lastModifiedBy>Raimonds Bogdanovičs</cp:lastModifiedBy>
  <cp:revision>11</cp:revision>
  <dcterms:created xsi:type="dcterms:W3CDTF">2026-07-26T10:58:00Z</dcterms:created>
  <dcterms:modified xsi:type="dcterms:W3CDTF">2026-07-26T19:17:00Z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0x01010002253C9AEBC71C47A227A4829C21DF97</vt:lpwstr>
  </property>
</Properties>
</file>