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85BE9" w14:textId="1C39720E" w:rsidR="007727B8" w:rsidRDefault="007727B8" w:rsidP="007727B8">
      <w:pPr>
        <w:pStyle w:val="Heading1"/>
      </w:pPr>
      <w:r>
        <w:t>Waste-heat terminology and opportunity assessment</w:t>
      </w:r>
    </w:p>
    <w:p w14:paraId="6A6CFF3E" w14:textId="77777777" w:rsidR="007727B8" w:rsidRDefault="007727B8" w:rsidP="007727B8">
      <w:pPr>
        <w:pStyle w:val="Heading2"/>
      </w:pPr>
      <w:r>
        <w:t>Waste heat, excess heat, surplus heat and recovered heat</w:t>
      </w:r>
    </w:p>
    <w:p w14:paraId="7288EF26" w14:textId="77777777" w:rsidR="007727B8" w:rsidRDefault="007727B8" w:rsidP="007727B8">
      <w:pPr>
        <w:pStyle w:val="NoSpacing"/>
      </w:pPr>
      <w:r>
        <w:t>Thermal energy leaving a process, installation or service activity that is not used for its primary purpose. “Waste heat”, “excess heat” and “surplus heat” are not fully interchangeable in engineering, contracts and legislation, so the intended meaning should be stated. Once useful heat has been captured and delivered to another process or network, “recovered heat” is usually the clearest operational term. It is not automatically renewable, low-cost, low-carbon or continuously available.</w:t>
      </w:r>
    </w:p>
    <w:p w14:paraId="0A4B67CA" w14:textId="77777777" w:rsidR="007727B8" w:rsidRDefault="007727B8" w:rsidP="007727B8">
      <w:pPr>
        <w:pStyle w:val="Heading2"/>
      </w:pPr>
      <w:r>
        <w:t>Unavoidable waste heat and cold</w:t>
      </w:r>
    </w:p>
    <w:p w14:paraId="09D961EA" w14:textId="77777777" w:rsidR="007727B8" w:rsidRDefault="007727B8" w:rsidP="007727B8">
      <w:pPr>
        <w:pStyle w:val="NoSpacing"/>
      </w:pPr>
      <w:r>
        <w:t>A regulatory accounting concept for heat or cold generated as a by-product that would otherwise be dissipated and that cannot reasonably be avoided or used on site after appropriate efficiency and heat-integration measures. Eligibility depends on the applicable jurisdiction and methodology. The broader engineering inventory of rejected heat can therefore be larger than the amount eligible to be reported as “waste heat and cold” under energy-policy rules.</w:t>
      </w:r>
    </w:p>
    <w:p w14:paraId="738E03F4" w14:textId="77777777" w:rsidR="007727B8" w:rsidRDefault="007727B8" w:rsidP="007727B8">
      <w:pPr>
        <w:pStyle w:val="Heading2"/>
      </w:pPr>
      <w:r>
        <w:t>Waste-heat source and heat sink</w:t>
      </w:r>
    </w:p>
    <w:p w14:paraId="2A3A9F74" w14:textId="77777777" w:rsidR="007727B8" w:rsidRDefault="007727B8" w:rsidP="007727B8">
      <w:pPr>
        <w:pStyle w:val="NoSpacing"/>
      </w:pPr>
      <w:r>
        <w:t>The source is the process or system from which heat can be recovered; the sink is the network, building or process that can use it. Integration requires compatibility in temperature, capacity, timing, location, reliability and commercial conditions. A large source is not a viable opportunity unless a suitable sink exists or can be created.</w:t>
      </w:r>
    </w:p>
    <w:p w14:paraId="2603E9B4" w14:textId="77777777" w:rsidR="007727B8" w:rsidRDefault="007727B8" w:rsidP="007727B8">
      <w:pPr>
        <w:pStyle w:val="Heading2"/>
      </w:pPr>
      <w:r>
        <w:t>Theoretical, recoverable, usable and economic potential</w:t>
      </w:r>
    </w:p>
    <w:p w14:paraId="7F295995" w14:textId="77777777" w:rsidR="007727B8" w:rsidRDefault="007727B8" w:rsidP="0008780F">
      <w:pPr>
        <w:pStyle w:val="NoSpacing"/>
      </w:pPr>
      <w:r>
        <w:t>Theoretical potential is the total heat rejected within a stated boundary. Technically recoverable potential accounts for access, heat-exchanger limits, process constraints and feasible recovery equipment. Usable or integrable potential additionally accounts for sink temperatures, timing, connection losses, upgrading and network constraints. Economic potential is the portion that meets specified cost, risk and investment criteria. These levels must not be reported as if they were equivalent.</w:t>
      </w:r>
    </w:p>
    <w:p w14:paraId="705E95FF" w14:textId="77777777" w:rsidR="007727B8" w:rsidRDefault="007727B8" w:rsidP="007727B8">
      <w:pPr>
        <w:pStyle w:val="Heading2"/>
      </w:pPr>
      <w:r>
        <w:t>Recoverable thermal power and recoverable energy</w:t>
      </w:r>
    </w:p>
    <w:p w14:paraId="77AD54FD" w14:textId="77777777" w:rsidR="007727B8" w:rsidRDefault="007727B8" w:rsidP="0008780F">
      <w:pPr>
        <w:pStyle w:val="NoSpacing"/>
      </w:pPr>
      <w:r>
        <w:t>Recoverable thermal power is the instantaneous or rated rate of useful heat recovery, expressed in kW or MW at stated conditions. Recoverable energy is the heat available over a period, such as MWh per year, after applying the source profile and availability. Annual energy cannot be inferred reliably from peak power without operating-hour and part-load data.</w:t>
      </w:r>
    </w:p>
    <w:p w14:paraId="13399DDA" w14:textId="77777777" w:rsidR="007727B8" w:rsidRDefault="007727B8" w:rsidP="007727B8">
      <w:pPr>
        <w:pStyle w:val="Heading2"/>
      </w:pPr>
      <w:r>
        <w:t>Heat-recovery hierarchy and competing on-site use</w:t>
      </w:r>
    </w:p>
    <w:p w14:paraId="24698126" w14:textId="77777777" w:rsidR="007727B8" w:rsidRDefault="007727B8" w:rsidP="0008780F">
      <w:pPr>
        <w:pStyle w:val="NoSpacing"/>
      </w:pPr>
      <w:r>
        <w:t>A decision sequence that first avoids unnecessary heat generation, improves process efficiency and considers feasible on-site heat recovery before exporting residual heat. External district-heating use should be compared with internal process heating, preheating, drying, absorption cooling and other higher-value uses. The hierarchy is especially important when determining whether heat is genuinely unavoidable for regulatory accounting.</w:t>
      </w:r>
    </w:p>
    <w:p w14:paraId="7E8C572F" w14:textId="77777777" w:rsidR="007727B8" w:rsidRDefault="007727B8" w:rsidP="007727B8">
      <w:pPr>
        <w:pStyle w:val="Heading2"/>
      </w:pPr>
      <w:r>
        <w:t>Waste-heat source categories</w:t>
      </w:r>
    </w:p>
    <w:p w14:paraId="68F991BE" w14:textId="77777777" w:rsidR="007727B8" w:rsidRDefault="007727B8" w:rsidP="0008780F">
      <w:pPr>
        <w:pStyle w:val="NoSpacing"/>
      </w:pPr>
      <w:r>
        <w:t xml:space="preserve">A practical classification including </w:t>
      </w:r>
      <w:proofErr w:type="spellStart"/>
      <w:r>
        <w:t>industrial</w:t>
      </w:r>
      <w:proofErr w:type="spellEnd"/>
      <w:r>
        <w:t xml:space="preserve"> </w:t>
      </w:r>
      <w:proofErr w:type="spellStart"/>
      <w:r>
        <w:t>processes</w:t>
      </w:r>
      <w:proofErr w:type="spellEnd"/>
      <w:r>
        <w:t xml:space="preserve">, </w:t>
      </w:r>
      <w:proofErr w:type="spellStart"/>
      <w:r>
        <w:t>data</w:t>
      </w:r>
      <w:proofErr w:type="spellEnd"/>
      <w:r>
        <w:t xml:space="preserve"> </w:t>
      </w:r>
      <w:proofErr w:type="spellStart"/>
      <w:r>
        <w:t>centres</w:t>
      </w:r>
      <w:proofErr w:type="spellEnd"/>
      <w:r>
        <w:t xml:space="preserve">, </w:t>
      </w:r>
      <w:proofErr w:type="spellStart"/>
      <w:r>
        <w:t>commercial</w:t>
      </w:r>
      <w:proofErr w:type="spellEnd"/>
      <w:r>
        <w:t xml:space="preserve"> </w:t>
      </w:r>
      <w:proofErr w:type="spellStart"/>
      <w:r>
        <w:t>refrigeration</w:t>
      </w:r>
      <w:proofErr w:type="spellEnd"/>
      <w:r>
        <w:t xml:space="preserve">, </w:t>
      </w:r>
      <w:proofErr w:type="spellStart"/>
      <w:r>
        <w:t>wastewater</w:t>
      </w:r>
      <w:proofErr w:type="spellEnd"/>
      <w:r>
        <w:t xml:space="preserve"> systems, power </w:t>
      </w:r>
      <w:proofErr w:type="spellStart"/>
      <w:r>
        <w:t>generation</w:t>
      </w:r>
      <w:proofErr w:type="spellEnd"/>
      <w:r>
        <w:t xml:space="preserve">, </w:t>
      </w:r>
      <w:proofErr w:type="spellStart"/>
      <w:r>
        <w:t>waste</w:t>
      </w:r>
      <w:proofErr w:type="spellEnd"/>
      <w:r>
        <w:t>-to-</w:t>
      </w:r>
      <w:proofErr w:type="spellStart"/>
      <w:r>
        <w:t>energy</w:t>
      </w:r>
      <w:proofErr w:type="spellEnd"/>
      <w:r>
        <w:t xml:space="preserve"> </w:t>
      </w:r>
      <w:proofErr w:type="spellStart"/>
      <w:r>
        <w:t>plants</w:t>
      </w:r>
      <w:proofErr w:type="spellEnd"/>
      <w:r>
        <w:t xml:space="preserve">, </w:t>
      </w:r>
      <w:proofErr w:type="spellStart"/>
      <w:r>
        <w:t>electrolysers</w:t>
      </w:r>
      <w:proofErr w:type="spellEnd"/>
      <w:r>
        <w:t xml:space="preserve"> </w:t>
      </w:r>
      <w:proofErr w:type="spellStart"/>
      <w:r>
        <w:t>and</w:t>
      </w:r>
      <w:proofErr w:type="spellEnd"/>
      <w:r>
        <w:t xml:space="preserve"> </w:t>
      </w:r>
      <w:proofErr w:type="spellStart"/>
      <w:r>
        <w:t>other</w:t>
      </w:r>
      <w:proofErr w:type="spellEnd"/>
      <w:r>
        <w:t xml:space="preserve"> </w:t>
      </w:r>
      <w:proofErr w:type="spellStart"/>
      <w:r>
        <w:t>urban</w:t>
      </w:r>
      <w:proofErr w:type="spellEnd"/>
      <w:r>
        <w:t xml:space="preserve"> infrastructure. </w:t>
      </w:r>
      <w:proofErr w:type="spellStart"/>
      <w:r>
        <w:t>Categories</w:t>
      </w:r>
      <w:proofErr w:type="spellEnd"/>
      <w:r>
        <w:t xml:space="preserve"> </w:t>
      </w:r>
      <w:proofErr w:type="spellStart"/>
      <w:r>
        <w:t>help</w:t>
      </w:r>
      <w:proofErr w:type="spellEnd"/>
      <w:r>
        <w:t xml:space="preserve"> </w:t>
      </w:r>
      <w:proofErr w:type="spellStart"/>
      <w:r>
        <w:t>organise</w:t>
      </w:r>
      <w:proofErr w:type="spellEnd"/>
      <w:r>
        <w:t xml:space="preserve"> </w:t>
      </w:r>
      <w:proofErr w:type="spellStart"/>
      <w:r>
        <w:t>screening</w:t>
      </w:r>
      <w:proofErr w:type="spellEnd"/>
      <w:r>
        <w:t xml:space="preserve">, </w:t>
      </w:r>
      <w:proofErr w:type="spellStart"/>
      <w:r>
        <w:t>but</w:t>
      </w:r>
      <w:proofErr w:type="spellEnd"/>
      <w:r>
        <w:t xml:space="preserve"> </w:t>
      </w:r>
      <w:proofErr w:type="spellStart"/>
      <w:r>
        <w:t>each</w:t>
      </w:r>
      <w:proofErr w:type="spellEnd"/>
      <w:r>
        <w:t xml:space="preserve"> </w:t>
      </w:r>
      <w:proofErr w:type="spellStart"/>
      <w:r>
        <w:t>site</w:t>
      </w:r>
      <w:proofErr w:type="spellEnd"/>
      <w:r>
        <w:t xml:space="preserve"> </w:t>
      </w:r>
      <w:proofErr w:type="spellStart"/>
      <w:r>
        <w:t>must</w:t>
      </w:r>
      <w:proofErr w:type="spellEnd"/>
      <w:r>
        <w:t xml:space="preserve"> </w:t>
      </w:r>
      <w:proofErr w:type="spellStart"/>
      <w:r>
        <w:t>be</w:t>
      </w:r>
      <w:proofErr w:type="spellEnd"/>
      <w:r>
        <w:t xml:space="preserve"> </w:t>
      </w:r>
      <w:proofErr w:type="spellStart"/>
      <w:r>
        <w:t>characterised</w:t>
      </w:r>
      <w:proofErr w:type="spellEnd"/>
      <w:r>
        <w:t xml:space="preserve"> </w:t>
      </w:r>
      <w:proofErr w:type="spellStart"/>
      <w:r>
        <w:t>by</w:t>
      </w:r>
      <w:proofErr w:type="spellEnd"/>
      <w:r>
        <w:t xml:space="preserve"> </w:t>
      </w:r>
      <w:proofErr w:type="spellStart"/>
      <w:r>
        <w:t>measured</w:t>
      </w:r>
      <w:proofErr w:type="spellEnd"/>
      <w:r>
        <w:t xml:space="preserve"> </w:t>
      </w:r>
      <w:proofErr w:type="spellStart"/>
      <w:r>
        <w:t>temperature</w:t>
      </w:r>
      <w:proofErr w:type="spellEnd"/>
      <w:r>
        <w:t>, flow, operating schedule, process constraints and ownership rather than by generic assumptions.</w:t>
      </w:r>
    </w:p>
    <w:p w14:paraId="495926FA" w14:textId="77777777" w:rsidR="007727B8" w:rsidRDefault="007727B8" w:rsidP="007727B8">
      <w:pPr>
        <w:pStyle w:val="Heading2"/>
      </w:pPr>
      <w:r>
        <w:t>Heat-recovery feasibility assessment</w:t>
      </w:r>
    </w:p>
    <w:p w14:paraId="7C390F72" w14:textId="77777777" w:rsidR="007727B8" w:rsidRDefault="007727B8" w:rsidP="0008780F">
      <w:pPr>
        <w:pStyle w:val="NoSpacing"/>
      </w:pPr>
      <w:r>
        <w:t>A structured technical, economic, environmental and contractual evaluation of a candidate source. It should cover recoverable power and energy, temperature profiles, source and demand coincidence, connection route, return-temperature compatibility, heat-pump and auxiliary energy, storage and backup needs, process risks, metering, permissions, ownership, emissions accounting, investment performance and uncertainty. A screening study should clearly separate measured data from estimates and assumptions.</w:t>
      </w:r>
    </w:p>
    <w:p w14:paraId="34128552" w14:textId="72558F66" w:rsidR="007727B8" w:rsidRDefault="007727B8" w:rsidP="007727B8">
      <w:pPr>
        <w:pStyle w:val="Heading1"/>
      </w:pPr>
      <w:r>
        <w:lastRenderedPageBreak/>
        <w:t>Common waste-heat opportunities</w:t>
      </w:r>
    </w:p>
    <w:p w14:paraId="45916CD6" w14:textId="77777777" w:rsidR="007727B8" w:rsidRDefault="007727B8" w:rsidP="007727B8">
      <w:pPr>
        <w:pStyle w:val="Heading2"/>
      </w:pPr>
      <w:r>
        <w:t>Industrial excess heat</w:t>
      </w:r>
    </w:p>
    <w:p w14:paraId="7709239B" w14:textId="77777777" w:rsidR="007727B8" w:rsidRDefault="007727B8" w:rsidP="0008780F">
      <w:pPr>
        <w:pStyle w:val="NoSpacing"/>
      </w:pPr>
      <w:r>
        <w:t>Recoverable heat from process streams, cooling water, condensate, exhaust gases, furnaces, compressors or refrigeration within manufacturing and processing facilities. Temperature and continuity vary widely, and recovery can affect the host process, product quality, pressure levels, maintenance or future production. Pinch analysis or another systematic process-integration method should be used where appropriate before assuming heat is available for export.</w:t>
      </w:r>
    </w:p>
    <w:p w14:paraId="34A7F7A8" w14:textId="77777777" w:rsidR="007727B8" w:rsidRDefault="007727B8" w:rsidP="007727B8">
      <w:pPr>
        <w:pStyle w:val="Heading2"/>
      </w:pPr>
      <w:r>
        <w:t>Data-</w:t>
      </w:r>
      <w:proofErr w:type="spellStart"/>
      <w:r>
        <w:t>centre</w:t>
      </w:r>
      <w:proofErr w:type="spellEnd"/>
      <w:r>
        <w:t xml:space="preserve"> waste heat</w:t>
      </w:r>
    </w:p>
    <w:p w14:paraId="2AD4B5BC" w14:textId="77777777" w:rsidR="007727B8" w:rsidRDefault="007727B8" w:rsidP="0008780F">
      <w:pPr>
        <w:pStyle w:val="NoSpacing"/>
      </w:pPr>
      <w:r>
        <w:t xml:space="preserve">Heat removed from information-technology equipment and supporting </w:t>
      </w:r>
      <w:proofErr w:type="spellStart"/>
      <w:r>
        <w:t>systems</w:t>
      </w:r>
      <w:proofErr w:type="spellEnd"/>
      <w:r>
        <w:t xml:space="preserve"> </w:t>
      </w:r>
      <w:proofErr w:type="spellStart"/>
      <w:r>
        <w:t>by</w:t>
      </w:r>
      <w:proofErr w:type="spellEnd"/>
      <w:r>
        <w:t xml:space="preserve"> </w:t>
      </w:r>
      <w:proofErr w:type="spellStart"/>
      <w:r>
        <w:t>the</w:t>
      </w:r>
      <w:proofErr w:type="spellEnd"/>
      <w:r>
        <w:t xml:space="preserve"> </w:t>
      </w:r>
      <w:proofErr w:type="spellStart"/>
      <w:r>
        <w:t>data-centre</w:t>
      </w:r>
      <w:proofErr w:type="spellEnd"/>
      <w:r>
        <w:t xml:space="preserve"> </w:t>
      </w:r>
      <w:proofErr w:type="spellStart"/>
      <w:r>
        <w:t>cooling</w:t>
      </w:r>
      <w:proofErr w:type="spellEnd"/>
      <w:r>
        <w:t xml:space="preserve"> </w:t>
      </w:r>
      <w:proofErr w:type="spellStart"/>
      <w:r>
        <w:t>system</w:t>
      </w:r>
      <w:proofErr w:type="spellEnd"/>
      <w:r>
        <w:t>. Available temperature depends strongly on air cooling, rear-door heat exchangers, direct-to-chip liquid cooling, immersion cooling and the selected recovery boundary. IT load can provide a comparatively continuous source, but heat quantity, temperature, free-cooling operation, redundancy rules and future computing load must be verified. Heat pumps are often needed for conventional district-heating temperatures.</w:t>
      </w:r>
    </w:p>
    <w:p w14:paraId="3D4CAEA3" w14:textId="77777777" w:rsidR="007727B8" w:rsidRDefault="007727B8" w:rsidP="007727B8">
      <w:pPr>
        <w:pStyle w:val="Heading2"/>
      </w:pPr>
      <w:r>
        <w:t>Supermarket and refrigeration-system heat</w:t>
      </w:r>
    </w:p>
    <w:p w14:paraId="41D465AD" w14:textId="77777777" w:rsidR="007727B8" w:rsidRDefault="007727B8" w:rsidP="0008780F">
      <w:pPr>
        <w:pStyle w:val="NoSpacing"/>
      </w:pPr>
      <w:r>
        <w:t>Condenser heat rejected by refrigeration equipment serving supermarkets, cold stores, ice rinks or industrial cooling processes. Output follows the cooling load and includes both extracted cooling energy and compressor input. Availability can be high in warm periods when district-heating demand is low, so local sinks, storage or low-temperature networks may be important. Refrigerant system design and heat-recovery pressure levels must remain compatible with safe refrigeration operation.</w:t>
      </w:r>
    </w:p>
    <w:p w14:paraId="0C4D7C1C" w14:textId="77777777" w:rsidR="007727B8" w:rsidRDefault="007727B8" w:rsidP="007727B8">
      <w:pPr>
        <w:pStyle w:val="Heading2"/>
      </w:pPr>
      <w:r>
        <w:t>Wastewater and sewage heat recovery</w:t>
      </w:r>
    </w:p>
    <w:p w14:paraId="139F04FB" w14:textId="77777777" w:rsidR="007727B8" w:rsidRDefault="007727B8" w:rsidP="0008780F">
      <w:pPr>
        <w:pStyle w:val="NoSpacing"/>
      </w:pPr>
      <w:r>
        <w:t>Recovery of sensible heat from raw wastewater, sewer flows, treatment-plant effluent or sludge-processing systems, normally through a heat exchanger and heat pump. Temperature and flow are site- and season-specific. Design must consider minimum sewer temperature, biological-treatment effects, hydraulic restrictions, fouling, corrosion, maintenance access, environmental permits and whether heat extraction is located upstream or downstream of treatment.</w:t>
      </w:r>
    </w:p>
    <w:p w14:paraId="568EDD9C" w14:textId="77777777" w:rsidR="007727B8" w:rsidRDefault="007727B8" w:rsidP="007727B8">
      <w:pPr>
        <w:pStyle w:val="Heading2"/>
      </w:pPr>
      <w:r>
        <w:t>Power-generation, CHP and waste-to-energy heat</w:t>
      </w:r>
    </w:p>
    <w:p w14:paraId="41D88E00" w14:textId="77777777" w:rsidR="007727B8" w:rsidRDefault="007727B8" w:rsidP="0008780F">
      <w:pPr>
        <w:pStyle w:val="NoSpacing"/>
      </w:pPr>
      <w:r>
        <w:t>Potential recovery from condenser systems, flue gases, cooling circuits or other residual streams associated with electricity or waste treatment. Useful heat deliberately produced by cogeneration is not automatically “waste heat”. Accounting and feasibility must distinguish useful cogenerated heat from genuinely residual heat, and must consider flue-gas condensation, corrosion, emissions controls, plant dispatch and the long-term role of the host facility.</w:t>
      </w:r>
    </w:p>
    <w:p w14:paraId="2BCC7828" w14:textId="77777777" w:rsidR="007727B8" w:rsidRDefault="007727B8" w:rsidP="007727B8">
      <w:pPr>
        <w:pStyle w:val="Heading2"/>
      </w:pPr>
      <w:proofErr w:type="spellStart"/>
      <w:r>
        <w:t>Electrolyser</w:t>
      </w:r>
      <w:proofErr w:type="spellEnd"/>
      <w:r>
        <w:t xml:space="preserve"> and hydrogen-production heat</w:t>
      </w:r>
    </w:p>
    <w:p w14:paraId="5E2A6E6C" w14:textId="77777777" w:rsidR="007727B8" w:rsidRDefault="007727B8" w:rsidP="0008780F">
      <w:pPr>
        <w:pStyle w:val="NoSpacing"/>
      </w:pPr>
      <w:r>
        <w:t xml:space="preserve">Heat generated by electrolysis stacks, power electronics, gas compression and auxiliary cooling systems. Its temperature and recoverable </w:t>
      </w:r>
      <w:proofErr w:type="spellStart"/>
      <w:r>
        <w:t>share</w:t>
      </w:r>
      <w:proofErr w:type="spellEnd"/>
      <w:r>
        <w:t xml:space="preserve"> </w:t>
      </w:r>
      <w:proofErr w:type="spellStart"/>
      <w:r>
        <w:t>depend</w:t>
      </w:r>
      <w:proofErr w:type="spellEnd"/>
      <w:r>
        <w:t xml:space="preserve"> </w:t>
      </w:r>
      <w:proofErr w:type="spellStart"/>
      <w:r>
        <w:t>on</w:t>
      </w:r>
      <w:proofErr w:type="spellEnd"/>
      <w:r>
        <w:t xml:space="preserve"> </w:t>
      </w:r>
      <w:proofErr w:type="spellStart"/>
      <w:r>
        <w:t>electrolyser</w:t>
      </w:r>
      <w:proofErr w:type="spellEnd"/>
      <w:r>
        <w:t xml:space="preserve"> </w:t>
      </w:r>
      <w:proofErr w:type="spellStart"/>
      <w:r>
        <w:t>technology</w:t>
      </w:r>
      <w:proofErr w:type="spellEnd"/>
      <w:r>
        <w:t xml:space="preserve">, </w:t>
      </w:r>
      <w:proofErr w:type="spellStart"/>
      <w:r>
        <w:t>operating</w:t>
      </w:r>
      <w:proofErr w:type="spellEnd"/>
      <w:r>
        <w:t xml:space="preserve"> </w:t>
      </w:r>
      <w:proofErr w:type="spellStart"/>
      <w:r>
        <w:t>pressure</w:t>
      </w:r>
      <w:proofErr w:type="spellEnd"/>
      <w:r>
        <w:t>, load factor and cooling design. The opportunity may be attractive near heat networks, but project appraisal must reflect uncertain hydrogen-production schedules, electricity-market operation and possible changes in plant scale.</w:t>
      </w:r>
    </w:p>
    <w:p w14:paraId="1CDB018C" w14:textId="77777777" w:rsidR="007727B8" w:rsidRDefault="007727B8" w:rsidP="007727B8">
      <w:pPr>
        <w:pStyle w:val="Heading2"/>
      </w:pPr>
      <w:r>
        <w:t>Urban-infrastructure and service-sector heat</w:t>
      </w:r>
    </w:p>
    <w:p w14:paraId="18D7294F" w14:textId="77777777" w:rsidR="007727B8" w:rsidRDefault="007727B8" w:rsidP="0008780F">
      <w:pPr>
        <w:pStyle w:val="NoSpacing"/>
      </w:pPr>
      <w:r>
        <w:t>Heat rejected by metro systems, hospitals, laundries, commercial buildings, telecommunications facilities, transformer stations, cooling plants and similar urban activities. Individual sources may be smaller or spatially distributed, so aggregation through an ambient loop, local low-temperature network or shared heat pump may be more suitable than a long dedicated connection to a high-temperature network.</w:t>
      </w:r>
    </w:p>
    <w:p w14:paraId="11588030" w14:textId="77777777" w:rsidR="007727B8" w:rsidRDefault="007727B8" w:rsidP="007727B8">
      <w:pPr>
        <w:pStyle w:val="Heading2"/>
      </w:pPr>
      <w:r>
        <w:t>Source-continuity and decommissioning risk</w:t>
      </w:r>
    </w:p>
    <w:p w14:paraId="0B3A65AB" w14:textId="77777777" w:rsidR="007727B8" w:rsidRDefault="007727B8" w:rsidP="0008780F">
      <w:pPr>
        <w:pStyle w:val="NoSpacing"/>
      </w:pPr>
      <w:r>
        <w:t xml:space="preserve">The risk that recoverable heat declines or disappears because the host process changes, improves efficiency, relocates, closes or changes operating hours. Heat-recovery infrastructure often has a longer lifetime than the source contract. </w:t>
      </w:r>
      <w:proofErr w:type="spellStart"/>
      <w:r>
        <w:t>Feasibility</w:t>
      </w:r>
      <w:proofErr w:type="spellEnd"/>
      <w:r>
        <w:t xml:space="preserve"> </w:t>
      </w:r>
      <w:proofErr w:type="spellStart"/>
      <w:r w:rsidRPr="0008780F">
        <w:t>studies</w:t>
      </w:r>
      <w:proofErr w:type="spellEnd"/>
      <w:r>
        <w:t xml:space="preserve"> </w:t>
      </w:r>
      <w:proofErr w:type="spellStart"/>
      <w:r>
        <w:t>and</w:t>
      </w:r>
      <w:proofErr w:type="spellEnd"/>
      <w:r>
        <w:t xml:space="preserve"> </w:t>
      </w:r>
      <w:proofErr w:type="spellStart"/>
      <w:r>
        <w:t>agreements</w:t>
      </w:r>
      <w:proofErr w:type="spellEnd"/>
      <w:r>
        <w:t xml:space="preserve"> </w:t>
      </w:r>
      <w:proofErr w:type="spellStart"/>
      <w:r>
        <w:t>should</w:t>
      </w:r>
      <w:proofErr w:type="spellEnd"/>
      <w:r>
        <w:t xml:space="preserve"> </w:t>
      </w:r>
      <w:proofErr w:type="spellStart"/>
      <w:r>
        <w:t>therefore</w:t>
      </w:r>
      <w:proofErr w:type="spellEnd"/>
      <w:r>
        <w:t xml:space="preserve"> </w:t>
      </w:r>
      <w:proofErr w:type="spellStart"/>
      <w:r>
        <w:t>consider</w:t>
      </w:r>
      <w:proofErr w:type="spellEnd"/>
      <w:r>
        <w:t xml:space="preserve"> </w:t>
      </w:r>
      <w:proofErr w:type="spellStart"/>
      <w:r>
        <w:t>alternative</w:t>
      </w:r>
      <w:proofErr w:type="spellEnd"/>
      <w:r>
        <w:t xml:space="preserve"> sources, asset reuse, termination provisions, stranded-asset exposure and realistic residual value.</w:t>
      </w:r>
    </w:p>
    <w:p w14:paraId="5A5AF563" w14:textId="4D52B09F" w:rsidR="007727B8" w:rsidRDefault="007727B8" w:rsidP="007727B8">
      <w:pPr>
        <w:pStyle w:val="Heading1"/>
      </w:pPr>
      <w:r>
        <w:lastRenderedPageBreak/>
        <w:t>Technical integration and source-side equipment</w:t>
      </w:r>
    </w:p>
    <w:p w14:paraId="6E84AD81" w14:textId="77777777" w:rsidR="007727B8" w:rsidRDefault="007727B8" w:rsidP="007727B8">
      <w:pPr>
        <w:pStyle w:val="Heading2"/>
      </w:pPr>
      <w:r>
        <w:t>Direct use of recovered heat</w:t>
      </w:r>
    </w:p>
    <w:p w14:paraId="73012632" w14:textId="77777777" w:rsidR="007727B8" w:rsidRDefault="007727B8" w:rsidP="0008780F">
      <w:pPr>
        <w:pStyle w:val="NoSpacing"/>
      </w:pPr>
      <w:r>
        <w:t>Use of a source at a sufficient temperature to meet the sink requirement without a heat pump. “Direct” refers to temperature upgrading and does not necessarily mean direct hydraulic mixing: a heat exchanger may still separate process and district-network fluids. Pumps, controls and temperature losses remain relevant.</w:t>
      </w:r>
    </w:p>
    <w:p w14:paraId="0E234194" w14:textId="77777777" w:rsidR="007727B8" w:rsidRDefault="007727B8" w:rsidP="007727B8">
      <w:pPr>
        <w:pStyle w:val="Heading2"/>
      </w:pPr>
      <w:r>
        <w:t>Heat cascading</w:t>
      </w:r>
    </w:p>
    <w:p w14:paraId="79979684" w14:textId="77777777" w:rsidR="007727B8" w:rsidRDefault="007727B8" w:rsidP="0008780F">
      <w:pPr>
        <w:pStyle w:val="NoSpacing"/>
      </w:pPr>
      <w:r>
        <w:t>Sequential use of heat by progressively lower-temperature sinks, for example process heating followed by district heating and then low-temperature preheating. Cascading can improve overall exergy use, but the sequence must respect source ownership, simultaneous demand, contamination barriers and the effect of each use on the temperature available to the next sink.</w:t>
      </w:r>
    </w:p>
    <w:p w14:paraId="4776384B" w14:textId="77777777" w:rsidR="007727B8" w:rsidRDefault="007727B8" w:rsidP="007727B8">
      <w:pPr>
        <w:pStyle w:val="Heading2"/>
      </w:pPr>
      <w:r>
        <w:t>Heat upgrading / temperature boosting</w:t>
      </w:r>
    </w:p>
    <w:p w14:paraId="1D5A7648" w14:textId="77777777" w:rsidR="007727B8" w:rsidRDefault="007727B8" w:rsidP="0008780F">
      <w:pPr>
        <w:pStyle w:val="NoSpacing"/>
      </w:pPr>
      <w:r>
        <w:t>Raising recovered heat to a useful delivery temperature, most commonly with a heat pump. Upgrading requirements depend on source temperature, network supply and return conditions, heat-exchanger approach temperatures and operating mode. A heat pump is not always required, and it is not automatically the largest capital-cost item; connection pipework, civil works and source modifications can dominate.</w:t>
      </w:r>
    </w:p>
    <w:p w14:paraId="320927CD" w14:textId="77777777" w:rsidR="007727B8" w:rsidRDefault="007727B8" w:rsidP="007727B8">
      <w:pPr>
        <w:pStyle w:val="Heading2"/>
      </w:pPr>
      <w:r>
        <w:t>Hydraulic separation</w:t>
      </w:r>
    </w:p>
    <w:p w14:paraId="2448BF90" w14:textId="77777777" w:rsidR="007727B8" w:rsidRDefault="007727B8" w:rsidP="0008780F">
      <w:pPr>
        <w:pStyle w:val="NoSpacing"/>
      </w:pPr>
      <w:r>
        <w:t>Separation of the source, recovery and district-network fluid circuits by heat exchangers or hydraulic interfaces. It protects pressure regimes and water quality and allows independent flow control, but adds approach-temperature loss and pumping demand. The need for separation depends on network rules, fluid compatibility and safety requirements.</w:t>
      </w:r>
    </w:p>
    <w:p w14:paraId="15E9B3DC" w14:textId="77777777" w:rsidR="007727B8" w:rsidRDefault="007727B8" w:rsidP="007727B8">
      <w:pPr>
        <w:pStyle w:val="Heading2"/>
      </w:pPr>
      <w:r>
        <w:t>Connection and injection point</w:t>
      </w:r>
    </w:p>
    <w:p w14:paraId="41A5A968" w14:textId="77777777" w:rsidR="007727B8" w:rsidRDefault="007727B8" w:rsidP="0008780F">
      <w:pPr>
        <w:pStyle w:val="NoSpacing"/>
      </w:pPr>
      <w:r>
        <w:t>The physical location and hydraulic arrangement where recovered heat enters the district network or plant. Options include connection to supply, return, a local branch, a generation plant header or an ambient loop. The preferred point depends on source temperature, network pressure, flow direction, return-temperature effects, local capacity, control authority and the ability to prevent unwanted circulation.</w:t>
      </w:r>
    </w:p>
    <w:p w14:paraId="5815CF42" w14:textId="77777777" w:rsidR="007727B8" w:rsidRDefault="007727B8" w:rsidP="007727B8">
      <w:pPr>
        <w:pStyle w:val="Heading2"/>
      </w:pPr>
      <w:r>
        <w:t>Network temperature compatibility</w:t>
      </w:r>
    </w:p>
    <w:p w14:paraId="57BD09B1" w14:textId="77777777" w:rsidR="007727B8" w:rsidRDefault="007727B8" w:rsidP="0008780F">
      <w:pPr>
        <w:pStyle w:val="NoSpacing"/>
      </w:pPr>
      <w:r>
        <w:t>The ability of a source to deliver useful heat at the required network injection temperature while accepting the available return temperature. Compatibility varies by season and operating state. A source may be usable directly at low network temperatures but require a heat pump, cascading connection or return-line integration at higher temperatures.</w:t>
      </w:r>
    </w:p>
    <w:p w14:paraId="149A6FD7" w14:textId="77777777" w:rsidR="007727B8" w:rsidRDefault="007727B8" w:rsidP="007727B8">
      <w:pPr>
        <w:pStyle w:val="Heading2"/>
      </w:pPr>
      <w:r>
        <w:t>Source curtailment / rejected recoverable heat</w:t>
      </w:r>
    </w:p>
    <w:p w14:paraId="03C14867" w14:textId="77777777" w:rsidR="007727B8" w:rsidRDefault="007727B8" w:rsidP="0008780F">
      <w:pPr>
        <w:pStyle w:val="NoSpacing"/>
      </w:pPr>
      <w:r>
        <w:t xml:space="preserve">Potentially recoverable heat that cannot be accepted because demand, storage capacity, connection flow, temperature conditions or equipment availability are insufficient. Curtailment should be quantified separately from unavoidable technical losses. It is a key indicator for </w:t>
      </w:r>
      <w:proofErr w:type="spellStart"/>
      <w:r>
        <w:t>storage</w:t>
      </w:r>
      <w:proofErr w:type="spellEnd"/>
      <w:r>
        <w:t xml:space="preserve"> </w:t>
      </w:r>
      <w:proofErr w:type="spellStart"/>
      <w:r>
        <w:t>sizing</w:t>
      </w:r>
      <w:proofErr w:type="spellEnd"/>
      <w:r>
        <w:t xml:space="preserve">, </w:t>
      </w:r>
      <w:proofErr w:type="spellStart"/>
      <w:r>
        <w:t>dispatch</w:t>
      </w:r>
      <w:proofErr w:type="spellEnd"/>
      <w:r>
        <w:t xml:space="preserve"> </w:t>
      </w:r>
      <w:proofErr w:type="spellStart"/>
      <w:r>
        <w:t>optimisation</w:t>
      </w:r>
      <w:proofErr w:type="spellEnd"/>
      <w:r>
        <w:t xml:space="preserve"> </w:t>
      </w:r>
      <w:proofErr w:type="spellStart"/>
      <w:r>
        <w:t>and</w:t>
      </w:r>
      <w:proofErr w:type="spellEnd"/>
      <w:r>
        <w:t xml:space="preserve"> </w:t>
      </w:r>
      <w:proofErr w:type="spellStart"/>
      <w:r>
        <w:t>contract</w:t>
      </w:r>
      <w:proofErr w:type="spellEnd"/>
      <w:r>
        <w:t xml:space="preserve"> </w:t>
      </w:r>
      <w:proofErr w:type="spellStart"/>
      <w:r>
        <w:t>design</w:t>
      </w:r>
      <w:proofErr w:type="spellEnd"/>
      <w:r>
        <w:t>.</w:t>
      </w:r>
    </w:p>
    <w:p w14:paraId="22B3E713" w14:textId="77777777" w:rsidR="007727B8" w:rsidRDefault="007727B8" w:rsidP="007727B8">
      <w:pPr>
        <w:pStyle w:val="Heading2"/>
      </w:pPr>
      <w:r>
        <w:t>Backup capacity and peak-load capacity</w:t>
      </w:r>
    </w:p>
    <w:p w14:paraId="6AB48EC1" w14:textId="77777777" w:rsidR="007727B8" w:rsidRDefault="007727B8" w:rsidP="0008780F">
      <w:pPr>
        <w:pStyle w:val="NoSpacing"/>
      </w:pPr>
      <w:r>
        <w:t>Backup capacity covers unplanned or planned unavailability of a main source, while peak-load capacity covers demand above the economical or technical output of base-load sources. The functions can be provided by the same asset but are conceptually different. Backup and peak equipment may use electricity, renewable fuels, stored heat, conventional boilers or other sources; it is not necessarily gas-fired.</w:t>
      </w:r>
    </w:p>
    <w:p w14:paraId="5EEC17C2" w14:textId="77777777" w:rsidR="007727B8" w:rsidRDefault="007727B8" w:rsidP="007727B8">
      <w:pPr>
        <w:pStyle w:val="Heading2"/>
      </w:pPr>
      <w:r>
        <w:t>Commissioning and acceptance testing</w:t>
      </w:r>
    </w:p>
    <w:p w14:paraId="52D8AA55" w14:textId="5146490D" w:rsidR="00BD7DCC" w:rsidRPr="003B04D2" w:rsidRDefault="007727B8" w:rsidP="003B04D2">
      <w:pPr>
        <w:pStyle w:val="NoSpacing"/>
      </w:pPr>
      <w:r>
        <w:t>Planned verification that the recovery system is installed, configured and able to meet specified hydraulic, thermal, electrical, control, metering, safety and communication requirements. Tests should cover normal and failure modes, source and network interlocks, heat-meter data, temperature and flow performance, alarms, backup operation and documentation. Acceptance criteria and witness responsibilities should be agreed before testing begins.</w:t>
      </w:r>
    </w:p>
    <w:sectPr w:rsidR="00BD7DCC" w:rsidRPr="003B04D2" w:rsidSect="00AC3070">
      <w:headerReference w:type="default" r:id="rId7"/>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FC752" w14:textId="77777777" w:rsidR="00FC2AC5" w:rsidRDefault="00FC2AC5" w:rsidP="00AC3070">
      <w:pPr>
        <w:spacing w:line="240" w:lineRule="auto"/>
      </w:pPr>
      <w:r>
        <w:separator/>
      </w:r>
    </w:p>
  </w:endnote>
  <w:endnote w:type="continuationSeparator" w:id="0">
    <w:p w14:paraId="4E0656FA" w14:textId="77777777" w:rsidR="00FC2AC5" w:rsidRDefault="00FC2AC5" w:rsidP="00AC30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66C12" w14:textId="1DBD53ED" w:rsidR="00AC3070" w:rsidRPr="004B45C1" w:rsidRDefault="00000000" w:rsidP="004B45C1">
    <w:pPr>
      <w:pStyle w:val="Footer"/>
      <w:jc w:val="right"/>
      <w:rPr>
        <w:lang w:val="en-US"/>
      </w:rPr>
    </w:pPr>
    <w:sdt>
      <w:sdtPr>
        <w:id w:val="-662635125"/>
        <w:docPartObj>
          <w:docPartGallery w:val="Page Numbers (Bottom of Page)"/>
          <w:docPartUnique/>
        </w:docPartObj>
      </w:sdtPr>
      <w:sdtContent>
        <w:r w:rsidR="004B45C1">
          <w:fldChar w:fldCharType="begin"/>
        </w:r>
        <w:r w:rsidR="004B45C1">
          <w:instrText>PAGE   \* MERGEFORMAT</w:instrText>
        </w:r>
        <w:r w:rsidR="004B45C1">
          <w:fldChar w:fldCharType="separate"/>
        </w:r>
        <w:r w:rsidR="004B45C1">
          <w:t>1</w:t>
        </w:r>
        <w:r w:rsidR="004B45C1">
          <w:fldChar w:fldCharType="end"/>
        </w:r>
      </w:sdtContent>
    </w:sdt>
    <w:r w:rsidR="004B45C1">
      <w:tab/>
    </w:r>
    <w:proofErr w:type="spellStart"/>
    <w:r w:rsidR="004B45C1">
      <w:rPr>
        <w:lang w:val="en-US"/>
      </w:rPr>
      <w:t>RepowerRegions</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C3268" w14:textId="77777777" w:rsidR="00FC2AC5" w:rsidRDefault="00FC2AC5" w:rsidP="00AC3070">
      <w:pPr>
        <w:spacing w:line="240" w:lineRule="auto"/>
      </w:pPr>
      <w:r>
        <w:separator/>
      </w:r>
    </w:p>
  </w:footnote>
  <w:footnote w:type="continuationSeparator" w:id="0">
    <w:p w14:paraId="3C445547" w14:textId="77777777" w:rsidR="00FC2AC5" w:rsidRDefault="00FC2AC5" w:rsidP="00AC30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6A6B3" w14:textId="3D564309" w:rsidR="00997DC8" w:rsidRDefault="00AC3070" w:rsidP="00997DC8">
    <w:pPr>
      <w:tabs>
        <w:tab w:val="right" w:pos="9638"/>
      </w:tabs>
      <w:spacing w:line="240" w:lineRule="auto"/>
      <w:jc w:val="left"/>
      <w:rPr>
        <w:rFonts w:eastAsia="Times New Roman" w:cs="Times New Roman"/>
        <w:lang w:val="en-GB" w:eastAsia="lv-LV"/>
      </w:rPr>
    </w:pPr>
    <w:r w:rsidRPr="00997DC8">
      <w:rPr>
        <w:rFonts w:eastAsia="Times New Roman" w:cs="Times New Roman"/>
        <w:lang w:val="en-US" w:eastAsia="lv-LV"/>
      </w:rPr>
      <w:t xml:space="preserve">Module 4. </w:t>
    </w:r>
    <w:r w:rsidRPr="00997DC8">
      <w:rPr>
        <w:lang w:val="en-US" w:eastAsia="lv-LV"/>
      </w:rPr>
      <w:t>Integrating with District ​&amp; Renewable Heat ​</w:t>
    </w:r>
    <w:r w:rsidR="00997DC8" w:rsidRPr="00997DC8">
      <w:rPr>
        <w:rFonts w:eastAsia="Times New Roman" w:cs="Times New Roman"/>
        <w:lang w:val="en-US" w:eastAsia="lv-LV"/>
      </w:rPr>
      <w:t xml:space="preserve"> </w:t>
    </w:r>
    <w:r w:rsidR="00997DC8" w:rsidRPr="00997DC8">
      <w:rPr>
        <w:rFonts w:eastAsia="Times New Roman" w:cs="Times New Roman"/>
        <w:lang w:val="en-US" w:eastAsia="lv-LV"/>
      </w:rPr>
      <w:tab/>
      <w:t>KEY</w:t>
    </w:r>
    <w:r w:rsidR="00006D99">
      <w:rPr>
        <w:rFonts w:eastAsia="Times New Roman" w:cs="Times New Roman"/>
        <w:lang w:val="en-US" w:eastAsia="lv-LV"/>
      </w:rPr>
      <w:t xml:space="preserve"> </w:t>
    </w:r>
    <w:r w:rsidR="00997DC8" w:rsidRPr="00997DC8">
      <w:rPr>
        <w:rFonts w:eastAsia="Times New Roman" w:cs="Times New Roman"/>
        <w:lang w:val="en-US" w:eastAsia="lv-LV"/>
      </w:rPr>
      <w:t>TERMS</w:t>
    </w:r>
    <w:r w:rsidRPr="00997DC8">
      <w:rPr>
        <w:lang w:val="en-US" w:eastAsia="lv-LV"/>
      </w:rPr>
      <w:br/>
    </w:r>
    <w:r w:rsidR="006E5E04" w:rsidRPr="006E5E04">
      <w:rPr>
        <w:rFonts w:eastAsia="Times New Roman" w:cs="Times New Roman"/>
        <w:lang w:val="en-GB" w:eastAsia="lv-LV"/>
      </w:rPr>
      <w:t>Unit 5</w:t>
    </w:r>
    <w:r w:rsidR="006E5E04">
      <w:rPr>
        <w:rFonts w:eastAsia="Times New Roman" w:cs="Times New Roman"/>
        <w:lang w:val="en-GB" w:eastAsia="lv-LV"/>
      </w:rPr>
      <w:t>.</w:t>
    </w:r>
    <w:r w:rsidR="006E5E04" w:rsidRPr="006E5E04">
      <w:rPr>
        <w:rFonts w:eastAsia="Times New Roman" w:cs="Times New Roman"/>
        <w:lang w:val="en-GB" w:eastAsia="lv-LV"/>
      </w:rPr>
      <w:t xml:space="preserve"> Waste heat opportunities, monitoring, and applied integration scenario</w:t>
    </w:r>
  </w:p>
  <w:p w14:paraId="675C3659" w14:textId="77777777" w:rsidR="00997DC8" w:rsidRPr="00997DC8" w:rsidRDefault="00997DC8" w:rsidP="00997DC8">
    <w:pPr>
      <w:tabs>
        <w:tab w:val="right" w:pos="9638"/>
      </w:tabs>
      <w:spacing w:line="240" w:lineRule="auto"/>
      <w:jc w:val="left"/>
      <w:rPr>
        <w:rFonts w:eastAsia="Times New Roman" w:cs="Times New Roman"/>
        <w:lang w:val="en-US" w:eastAsia="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0020C"/>
    <w:multiLevelType w:val="hybridMultilevel"/>
    <w:tmpl w:val="2E909B4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F803040"/>
    <w:multiLevelType w:val="multilevel"/>
    <w:tmpl w:val="86480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BA861C0"/>
    <w:multiLevelType w:val="multilevel"/>
    <w:tmpl w:val="A6D48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1395395">
    <w:abstractNumId w:val="2"/>
  </w:num>
  <w:num w:numId="2" w16cid:durableId="1021006593">
    <w:abstractNumId w:val="1"/>
  </w:num>
  <w:num w:numId="3" w16cid:durableId="2084064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825"/>
    <w:rsid w:val="00006D99"/>
    <w:rsid w:val="0008780F"/>
    <w:rsid w:val="00095C22"/>
    <w:rsid w:val="0010534D"/>
    <w:rsid w:val="001A103A"/>
    <w:rsid w:val="001B13D9"/>
    <w:rsid w:val="0020685D"/>
    <w:rsid w:val="002B495A"/>
    <w:rsid w:val="002F69B6"/>
    <w:rsid w:val="003B04D2"/>
    <w:rsid w:val="003E3E7D"/>
    <w:rsid w:val="003F67B7"/>
    <w:rsid w:val="004A3AD6"/>
    <w:rsid w:val="004B45C1"/>
    <w:rsid w:val="004E7872"/>
    <w:rsid w:val="005C6436"/>
    <w:rsid w:val="005D2BA3"/>
    <w:rsid w:val="006E5E04"/>
    <w:rsid w:val="007727B8"/>
    <w:rsid w:val="00774F6D"/>
    <w:rsid w:val="0082212F"/>
    <w:rsid w:val="00824825"/>
    <w:rsid w:val="008261A0"/>
    <w:rsid w:val="00896C49"/>
    <w:rsid w:val="00904A53"/>
    <w:rsid w:val="00933A60"/>
    <w:rsid w:val="00997DC8"/>
    <w:rsid w:val="009C116A"/>
    <w:rsid w:val="00A35A0F"/>
    <w:rsid w:val="00AB3E34"/>
    <w:rsid w:val="00AC3070"/>
    <w:rsid w:val="00B5782A"/>
    <w:rsid w:val="00BD7DCC"/>
    <w:rsid w:val="00C33394"/>
    <w:rsid w:val="00CF51A9"/>
    <w:rsid w:val="00D93BA7"/>
    <w:rsid w:val="00DB4F64"/>
    <w:rsid w:val="00DE75F1"/>
    <w:rsid w:val="00F20775"/>
    <w:rsid w:val="00F275E3"/>
    <w:rsid w:val="00F35470"/>
    <w:rsid w:val="00F37C24"/>
    <w:rsid w:val="00F50DD8"/>
    <w:rsid w:val="00F8413B"/>
    <w:rsid w:val="00FC2AC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653719"/>
  <w15:chartTrackingRefBased/>
  <w15:docId w15:val="{20F34E66-4CAF-4B8C-BBA7-2FEF3F505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5C22"/>
    <w:pPr>
      <w:spacing w:after="0"/>
      <w:jc w:val="both"/>
    </w:pPr>
    <w:rPr>
      <w:rFonts w:ascii="Times New Roman" w:hAnsi="Times New Roman"/>
    </w:rPr>
  </w:style>
  <w:style w:type="paragraph" w:styleId="Heading1">
    <w:name w:val="heading 1"/>
    <w:basedOn w:val="Heading2"/>
    <w:next w:val="Normal"/>
    <w:link w:val="Heading1Char"/>
    <w:uiPriority w:val="9"/>
    <w:qFormat/>
    <w:rsid w:val="00904A53"/>
    <w:pPr>
      <w:jc w:val="center"/>
      <w:outlineLvl w:val="0"/>
    </w:pPr>
    <w:rPr>
      <w:sz w:val="28"/>
    </w:rPr>
  </w:style>
  <w:style w:type="paragraph" w:styleId="Heading2">
    <w:name w:val="heading 2"/>
    <w:basedOn w:val="Normal"/>
    <w:link w:val="Heading2Char"/>
    <w:uiPriority w:val="9"/>
    <w:qFormat/>
    <w:rsid w:val="00904A53"/>
    <w:pPr>
      <w:spacing w:before="240" w:line="240" w:lineRule="auto"/>
      <w:jc w:val="left"/>
      <w:outlineLvl w:val="1"/>
    </w:pPr>
    <w:rPr>
      <w:rFonts w:eastAsia="Times New Roman" w:cs="Times New Roman"/>
      <w:b/>
      <w:bCs/>
      <w:sz w:val="24"/>
      <w:szCs w:val="40"/>
      <w:lang w:val="en-US" w:eastAsia="lv-LV"/>
    </w:rPr>
  </w:style>
  <w:style w:type="paragraph" w:styleId="Heading3">
    <w:name w:val="heading 3"/>
    <w:basedOn w:val="Heading2"/>
    <w:next w:val="Normal"/>
    <w:link w:val="Heading3Char"/>
    <w:uiPriority w:val="9"/>
    <w:unhideWhenUsed/>
    <w:qFormat/>
    <w:rsid w:val="00997DC8"/>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04A53"/>
    <w:rPr>
      <w:rFonts w:ascii="Times New Roman" w:eastAsia="Times New Roman" w:hAnsi="Times New Roman" w:cs="Times New Roman"/>
      <w:b/>
      <w:bCs/>
      <w:sz w:val="24"/>
      <w:szCs w:val="40"/>
      <w:lang w:val="en-US" w:eastAsia="lv-LV"/>
    </w:rPr>
  </w:style>
  <w:style w:type="paragraph" w:customStyle="1" w:styleId="font-claude-response-body">
    <w:name w:val="font-claude-response-body"/>
    <w:basedOn w:val="Normal"/>
    <w:rsid w:val="00824825"/>
    <w:pPr>
      <w:spacing w:before="100" w:beforeAutospacing="1" w:after="100" w:afterAutospacing="1" w:line="240" w:lineRule="auto"/>
    </w:pPr>
    <w:rPr>
      <w:rFonts w:eastAsia="Times New Roman" w:cs="Times New Roman"/>
      <w:sz w:val="24"/>
      <w:szCs w:val="24"/>
      <w:lang w:eastAsia="lv-LV"/>
    </w:rPr>
  </w:style>
  <w:style w:type="character" w:styleId="Strong">
    <w:name w:val="Strong"/>
    <w:basedOn w:val="DefaultParagraphFont"/>
    <w:uiPriority w:val="22"/>
    <w:qFormat/>
    <w:rsid w:val="00824825"/>
    <w:rPr>
      <w:b/>
      <w:bCs/>
    </w:rPr>
  </w:style>
  <w:style w:type="paragraph" w:styleId="NormalWeb">
    <w:name w:val="Normal (Web)"/>
    <w:basedOn w:val="Normal"/>
    <w:uiPriority w:val="99"/>
    <w:semiHidden/>
    <w:unhideWhenUsed/>
    <w:rsid w:val="00AC3070"/>
    <w:pPr>
      <w:spacing w:before="100" w:beforeAutospacing="1" w:after="100" w:afterAutospacing="1" w:line="240" w:lineRule="auto"/>
      <w:jc w:val="left"/>
    </w:pPr>
    <w:rPr>
      <w:rFonts w:eastAsia="Times New Roman" w:cs="Times New Roman"/>
      <w:sz w:val="24"/>
      <w:szCs w:val="24"/>
      <w:lang w:val="de-DE" w:eastAsia="de-DE"/>
    </w:rPr>
  </w:style>
  <w:style w:type="paragraph" w:styleId="Header">
    <w:name w:val="header"/>
    <w:basedOn w:val="Normal"/>
    <w:link w:val="HeaderChar"/>
    <w:uiPriority w:val="99"/>
    <w:unhideWhenUsed/>
    <w:rsid w:val="00AC3070"/>
    <w:pPr>
      <w:tabs>
        <w:tab w:val="center" w:pos="4513"/>
        <w:tab w:val="right" w:pos="9026"/>
      </w:tabs>
      <w:spacing w:line="240" w:lineRule="auto"/>
    </w:pPr>
  </w:style>
  <w:style w:type="character" w:customStyle="1" w:styleId="HeaderChar">
    <w:name w:val="Header Char"/>
    <w:basedOn w:val="DefaultParagraphFont"/>
    <w:link w:val="Header"/>
    <w:uiPriority w:val="99"/>
    <w:rsid w:val="00AC3070"/>
    <w:rPr>
      <w:rFonts w:ascii="Times New Roman" w:hAnsi="Times New Roman"/>
    </w:rPr>
  </w:style>
  <w:style w:type="paragraph" w:styleId="Footer">
    <w:name w:val="footer"/>
    <w:basedOn w:val="Normal"/>
    <w:link w:val="FooterChar"/>
    <w:uiPriority w:val="99"/>
    <w:unhideWhenUsed/>
    <w:rsid w:val="00AC3070"/>
    <w:pPr>
      <w:tabs>
        <w:tab w:val="center" w:pos="4513"/>
        <w:tab w:val="right" w:pos="9026"/>
      </w:tabs>
      <w:spacing w:line="240" w:lineRule="auto"/>
    </w:pPr>
  </w:style>
  <w:style w:type="character" w:customStyle="1" w:styleId="FooterChar">
    <w:name w:val="Footer Char"/>
    <w:basedOn w:val="DefaultParagraphFont"/>
    <w:link w:val="Footer"/>
    <w:uiPriority w:val="99"/>
    <w:rsid w:val="00AC3070"/>
    <w:rPr>
      <w:rFonts w:ascii="Times New Roman" w:hAnsi="Times New Roman"/>
    </w:rPr>
  </w:style>
  <w:style w:type="character" w:customStyle="1" w:styleId="Heading3Char">
    <w:name w:val="Heading 3 Char"/>
    <w:basedOn w:val="DefaultParagraphFont"/>
    <w:link w:val="Heading3"/>
    <w:uiPriority w:val="9"/>
    <w:rsid w:val="00997DC8"/>
    <w:rPr>
      <w:rFonts w:ascii="Times New Roman" w:eastAsia="Times New Roman" w:hAnsi="Times New Roman" w:cs="Times New Roman"/>
      <w:b/>
      <w:bCs/>
      <w:sz w:val="24"/>
      <w:szCs w:val="40"/>
      <w:lang w:val="en-US" w:eastAsia="lv-LV"/>
    </w:rPr>
  </w:style>
  <w:style w:type="paragraph" w:customStyle="1" w:styleId="GlossaryDefinition">
    <w:name w:val="Glossary Definition"/>
    <w:rsid w:val="00997DC8"/>
    <w:pPr>
      <w:spacing w:after="60" w:line="276" w:lineRule="auto"/>
    </w:pPr>
    <w:rPr>
      <w:rFonts w:ascii="Arial" w:eastAsia="Arial" w:hAnsi="Arial"/>
      <w:color w:val="202020"/>
      <w:sz w:val="21"/>
      <w:lang w:val="en-US"/>
    </w:rPr>
  </w:style>
  <w:style w:type="character" w:customStyle="1" w:styleId="Heading1Char">
    <w:name w:val="Heading 1 Char"/>
    <w:basedOn w:val="DefaultParagraphFont"/>
    <w:link w:val="Heading1"/>
    <w:uiPriority w:val="9"/>
    <w:rsid w:val="00904A53"/>
    <w:rPr>
      <w:rFonts w:ascii="Times New Roman" w:eastAsia="Times New Roman" w:hAnsi="Times New Roman" w:cs="Times New Roman"/>
      <w:b/>
      <w:bCs/>
      <w:sz w:val="28"/>
      <w:szCs w:val="40"/>
      <w:lang w:val="en-US" w:eastAsia="lv-LV"/>
    </w:rPr>
  </w:style>
  <w:style w:type="paragraph" w:customStyle="1" w:styleId="TermDefinition">
    <w:name w:val="Term Definition"/>
    <w:rsid w:val="00904A53"/>
    <w:pPr>
      <w:spacing w:after="100" w:line="252" w:lineRule="auto"/>
      <w:ind w:left="173"/>
    </w:pPr>
    <w:rPr>
      <w:rFonts w:ascii="Aptos" w:eastAsiaTheme="minorEastAsia" w:hAnsi="Aptos"/>
      <w:sz w:val="20"/>
      <w:lang w:val="en-US"/>
    </w:rPr>
  </w:style>
  <w:style w:type="paragraph" w:styleId="NoSpacing">
    <w:name w:val="No Spacing"/>
    <w:aliases w:val="Text"/>
    <w:uiPriority w:val="1"/>
    <w:qFormat/>
    <w:rsid w:val="002F69B6"/>
    <w:pPr>
      <w:spacing w:after="0" w:line="240" w:lineRule="auto"/>
      <w:ind w:left="113"/>
      <w:jc w:val="both"/>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9080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02253C9AEBC71C47A227A4829C21DF97" ma:contentTypeVersion="12" ma:contentTypeDescription="Создание документа." ma:contentTypeScope="" ma:versionID="c08ecda7829650c9ca8e883389edc514">
  <xsd:schema xmlns:xsd="http://www.w3.org/2001/XMLSchema" xmlns:xs="http://www.w3.org/2001/XMLSchema" xmlns:p="http://schemas.microsoft.com/office/2006/metadata/properties" xmlns:ns2="6c6dc0c2-662f-483e-a2ac-c4906ac02010" xmlns:ns3="02ef16f0-a918-4a7c-ac07-b4517a8518d9" targetNamespace="http://schemas.microsoft.com/office/2006/metadata/properties" ma:root="true" ma:fieldsID="95b37ab51bf15cb650d477a5fdec67b1" ns2:_="" ns3:_="">
    <xsd:import namespace="6c6dc0c2-662f-483e-a2ac-c4906ac02010"/>
    <xsd:import namespace="02ef16f0-a918-4a7c-ac07-b4517a851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dc0c2-662f-483e-a2ac-c4906ac020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Теги изображений" ma:readOnly="false" ma:fieldId="{5cf76f15-5ced-4ddc-b409-7134ff3c332f}" ma:taxonomyMulti="true" ma:sspId="130c09f6-3d71-40eb-857e-9c2f3277bed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ef16f0-a918-4a7c-ac07-b4517a851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720744f-9884-408f-a7c8-a5d3396591a8}" ma:internalName="TaxCatchAll" ma:showField="CatchAllData" ma:web="02ef16f0-a918-4a7c-ac07-b4517a851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6dc0c2-662f-483e-a2ac-c4906ac02010">
      <Terms xmlns="http://schemas.microsoft.com/office/infopath/2007/PartnerControls"/>
    </lcf76f155ced4ddcb4097134ff3c332f>
    <TaxCatchAll xmlns="02ef16f0-a918-4a7c-ac07-b4517a8518d9" xsi:nil="true"/>
  </documentManagement>
</p:properties>
</file>

<file path=customXml/itemProps1.xml><?xml version="1.0" encoding="utf-8"?>
<ds:datastoreItem xmlns:ds="http://schemas.openxmlformats.org/officeDocument/2006/customXml" ds:itemID="{42F4E1ED-ADEC-4433-9C7B-EAC6E5B52EEC}"/>
</file>

<file path=customXml/itemProps2.xml><?xml version="1.0" encoding="utf-8"?>
<ds:datastoreItem xmlns:ds="http://schemas.openxmlformats.org/officeDocument/2006/customXml" ds:itemID="{903E2FFB-9FC1-4467-9118-B56EF98987D6}"/>
</file>

<file path=customXml/itemProps3.xml><?xml version="1.0" encoding="utf-8"?>
<ds:datastoreItem xmlns:ds="http://schemas.openxmlformats.org/officeDocument/2006/customXml" ds:itemID="{584D0399-158C-48D8-8700-40DD1338B75A}"/>
</file>

<file path=docProps/app.xml><?xml version="1.0" encoding="utf-8"?>
<Properties xmlns="http://schemas.openxmlformats.org/officeDocument/2006/extended-properties" xmlns:vt="http://schemas.openxmlformats.org/officeDocument/2006/docPropsVTypes">
  <Template>Normal.dotm</Template>
  <TotalTime>0</TotalTime>
  <Pages>3</Pages>
  <Words>1588</Words>
  <Characters>10007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Tambovceva</dc:creator>
  <cp:keywords/>
  <dc:description/>
  <cp:lastModifiedBy>Raimonds Bogdanovičs</cp:lastModifiedBy>
  <cp:revision>9</cp:revision>
  <dcterms:created xsi:type="dcterms:W3CDTF">2026-07-24T14:07:00Z</dcterms:created>
  <dcterms:modified xsi:type="dcterms:W3CDTF">2026-07-24T15:50:00Z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0x01010002253C9AEBC71C47A227A4829C21DF97</vt:lpwstr>
  </property>
</Properties>
</file>