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C79F" w14:textId="5BFB28AB" w:rsidR="00CF51A9" w:rsidRPr="00BD7DCC" w:rsidRDefault="00BD7DCC" w:rsidP="0082212F">
      <w:pPr>
        <w:pStyle w:val="Heading1"/>
      </w:pPr>
      <w:r w:rsidRPr="00BD7DCC">
        <w:t>Flexibility fundamentals</w:t>
      </w:r>
    </w:p>
    <w:p w14:paraId="62543095" w14:textId="77777777" w:rsidR="00BD7DCC" w:rsidRPr="00BD7DCC" w:rsidRDefault="00BD7DCC" w:rsidP="00BD7DCC">
      <w:pPr>
        <w:pStyle w:val="Heading2"/>
      </w:pPr>
      <w:r w:rsidRPr="00BD7DCC">
        <w:t>Energy system flexibility</w:t>
      </w:r>
    </w:p>
    <w:p w14:paraId="52D8AA55" w14:textId="77777777" w:rsidR="00BD7DCC" w:rsidRPr="00BD7DCC" w:rsidRDefault="00BD7DCC" w:rsidP="00BD7DCC">
      <w:pPr>
        <w:pStyle w:val="NoSpacing"/>
        <w:rPr>
          <w:lang w:val="en-US"/>
        </w:rPr>
      </w:pPr>
      <w:r w:rsidRPr="00BD7DCC">
        <w:rPr>
          <w:lang w:val="en-US"/>
        </w:rPr>
        <w:t xml:space="preserve">The ability of an energy system to modify generation, conversion, storage, network operation or demand </w:t>
      </w:r>
      <w:proofErr w:type="gramStart"/>
      <w:r w:rsidRPr="00BD7DCC">
        <w:rPr>
          <w:lang w:val="en-US"/>
        </w:rPr>
        <w:t>over time</w:t>
      </w:r>
      <w:proofErr w:type="gramEnd"/>
      <w:r w:rsidRPr="00BD7DCC">
        <w:rPr>
          <w:lang w:val="en-US"/>
        </w:rPr>
        <w:t xml:space="preserve"> in response to expected or unexpected changes while respecting technical limits, safety, comfort and service-quality requirements. Flexibility must be described by the service provided and by its magnitude, duration, response time, location and recovery effects; it is not a single universal capacity.</w:t>
      </w:r>
    </w:p>
    <w:p w14:paraId="5D0B4F6D" w14:textId="77777777" w:rsidR="00BD7DCC" w:rsidRPr="00BD7DCC" w:rsidRDefault="00BD7DCC" w:rsidP="00BD7DCC">
      <w:pPr>
        <w:pStyle w:val="Heading2"/>
      </w:pPr>
      <w:r w:rsidRPr="00BD7DCC">
        <w:t>District heating and cooling system flexibility</w:t>
      </w:r>
    </w:p>
    <w:p w14:paraId="15F2EC8E" w14:textId="77777777" w:rsidR="00BD7DCC" w:rsidRPr="00BD7DCC" w:rsidRDefault="00BD7DCC" w:rsidP="00BD7DCC">
      <w:pPr>
        <w:pStyle w:val="NoSpacing"/>
        <w:rPr>
          <w:lang w:val="en-US"/>
        </w:rPr>
      </w:pPr>
      <w:r w:rsidRPr="00BD7DCC">
        <w:rPr>
          <w:lang w:val="en-US"/>
        </w:rPr>
        <w:t xml:space="preserve">The capability of a district heating or cooling system to vary heat or cold production, source selection, storage charging and discharging, network temperatures, flows and customer demand. Useful flexibility may support thermal-network operation, renewable integration, electricity-system operation, cost reduction, emissions reduction or resilience, but these objectives can conflict and therefore require explicit </w:t>
      </w:r>
      <w:proofErr w:type="spellStart"/>
      <w:r w:rsidRPr="00BD7DCC">
        <w:rPr>
          <w:lang w:val="en-US"/>
        </w:rPr>
        <w:t>prioritisation</w:t>
      </w:r>
      <w:proofErr w:type="spellEnd"/>
      <w:r w:rsidRPr="00BD7DCC">
        <w:rPr>
          <w:lang w:val="en-US"/>
        </w:rPr>
        <w:t>.</w:t>
      </w:r>
    </w:p>
    <w:p w14:paraId="2369C2E7" w14:textId="19B49F82" w:rsidR="00BD7DCC" w:rsidRPr="00BD7DCC" w:rsidRDefault="00BD7DCC" w:rsidP="00BD7DCC">
      <w:pPr>
        <w:pStyle w:val="Heading2"/>
      </w:pPr>
      <w:r w:rsidRPr="00BD7DCC">
        <w:t xml:space="preserve">Flexibility </w:t>
      </w:r>
      <w:r w:rsidR="00C33394" w:rsidRPr="00BD7DCC">
        <w:t>resources</w:t>
      </w:r>
      <w:r w:rsidRPr="00BD7DCC">
        <w:t xml:space="preserve"> and flexibility service</w:t>
      </w:r>
    </w:p>
    <w:p w14:paraId="2B66DE0D" w14:textId="77777777" w:rsidR="00BD7DCC" w:rsidRPr="00BD7DCC" w:rsidRDefault="00BD7DCC" w:rsidP="00BD7DCC">
      <w:pPr>
        <w:pStyle w:val="NoSpacing"/>
        <w:rPr>
          <w:lang w:val="en-US"/>
        </w:rPr>
      </w:pPr>
      <w:r w:rsidRPr="00BD7DCC">
        <w:rPr>
          <w:lang w:val="en-US"/>
        </w:rPr>
        <w:t xml:space="preserve">A flexibility resource is the physical or operational asset that can change its </w:t>
      </w:r>
      <w:proofErr w:type="spellStart"/>
      <w:r w:rsidRPr="00BD7DCC">
        <w:rPr>
          <w:lang w:val="en-US"/>
        </w:rPr>
        <w:t>behaviour</w:t>
      </w:r>
      <w:proofErr w:type="spellEnd"/>
      <w:r w:rsidRPr="00BD7DCC">
        <w:rPr>
          <w:lang w:val="en-US"/>
        </w:rPr>
        <w:t xml:space="preserve">, such as a heat pump, electric boiler, CHP unit, thermal store, building or controllable process. A flexibility service is the system need that the change fulfils, such as peak reduction, energy shifting, reserve provision, congestion relief or renewable-energy </w:t>
      </w:r>
      <w:proofErr w:type="spellStart"/>
      <w:r w:rsidRPr="00BD7DCC">
        <w:rPr>
          <w:lang w:val="en-US"/>
        </w:rPr>
        <w:t>utilisation</w:t>
      </w:r>
      <w:proofErr w:type="spellEnd"/>
      <w:r w:rsidRPr="00BD7DCC">
        <w:rPr>
          <w:lang w:val="en-US"/>
        </w:rPr>
        <w:t>. The resource and the service should not be treated as interchangeable terms.</w:t>
      </w:r>
    </w:p>
    <w:p w14:paraId="2461732A" w14:textId="77777777" w:rsidR="00BD7DCC" w:rsidRPr="00BD7DCC" w:rsidRDefault="00BD7DCC" w:rsidP="00BD7DCC">
      <w:pPr>
        <w:pStyle w:val="Heading2"/>
      </w:pPr>
      <w:r w:rsidRPr="00BD7DCC">
        <w:t>Flexibility dimensions</w:t>
      </w:r>
    </w:p>
    <w:p w14:paraId="498BCEF3" w14:textId="7119CBA0" w:rsidR="00BD7DCC" w:rsidRPr="008625A1" w:rsidRDefault="00BD7DCC" w:rsidP="00BD7DCC">
      <w:pPr>
        <w:pStyle w:val="NoSpacing"/>
        <w:rPr>
          <w:spacing w:val="-2"/>
          <w:lang w:val="en-US"/>
        </w:rPr>
      </w:pPr>
      <w:r w:rsidRPr="00BD7DCC">
        <w:rPr>
          <w:lang w:val="en-US"/>
        </w:rPr>
        <w:t>The characteristics used to quantify a flexibility option: adjustable thermal or electrical power, usable energy, activation duration, response time, ramp rate, run time, recovery time, availability, location, efficiency and number of permissible activations</w:t>
      </w:r>
      <w:r w:rsidRPr="008625A1">
        <w:rPr>
          <w:lang w:val="en-US"/>
        </w:rPr>
        <w:t xml:space="preserve">. </w:t>
      </w:r>
      <w:r w:rsidR="008625A1" w:rsidRPr="008625A1">
        <w:rPr>
          <w:lang w:val="en-US"/>
        </w:rPr>
        <w:t>Technology</w:t>
      </w:r>
      <w:r w:rsidRPr="008625A1">
        <w:rPr>
          <w:lang w:val="en-US"/>
        </w:rPr>
        <w:t xml:space="preserve"> can be highly flexible in one </w:t>
      </w:r>
      <w:r w:rsidR="008625A1">
        <w:rPr>
          <w:lang w:val="en-US"/>
        </w:rPr>
        <w:t>area</w:t>
      </w:r>
      <w:r w:rsidRPr="008625A1">
        <w:rPr>
          <w:lang w:val="en-US"/>
        </w:rPr>
        <w:t xml:space="preserve"> and unsuitable in another.</w:t>
      </w:r>
    </w:p>
    <w:p w14:paraId="138F1F11" w14:textId="77777777" w:rsidR="00BD7DCC" w:rsidRPr="00BD7DCC" w:rsidRDefault="00BD7DCC" w:rsidP="00BD7DCC">
      <w:pPr>
        <w:pStyle w:val="Heading2"/>
      </w:pPr>
      <w:r w:rsidRPr="00BD7DCC">
        <w:t>Supply-side flexibility</w:t>
      </w:r>
    </w:p>
    <w:p w14:paraId="74A77A08" w14:textId="77777777" w:rsidR="00BD7DCC" w:rsidRPr="00BD7DCC" w:rsidRDefault="00BD7DCC" w:rsidP="00BD7DCC">
      <w:pPr>
        <w:pStyle w:val="NoSpacing"/>
        <w:rPr>
          <w:lang w:val="en-US"/>
        </w:rPr>
      </w:pPr>
      <w:r w:rsidRPr="00BD7DCC">
        <w:rPr>
          <w:lang w:val="en-US"/>
        </w:rPr>
        <w:t>The ability to alter the output, operating point or source mix of heat- and cold-production assets. Examples include modulating heat pumps and boilers, changing CHP operation, switching between sources, varying network temperature within limits and charging or discharging storage. Constraints may include minimum load, start-up time, ramp rate, source availability, emissions and equipment wear.</w:t>
      </w:r>
    </w:p>
    <w:p w14:paraId="58018136" w14:textId="77777777" w:rsidR="00BD7DCC" w:rsidRPr="00BD7DCC" w:rsidRDefault="00BD7DCC" w:rsidP="00BD7DCC">
      <w:pPr>
        <w:pStyle w:val="Heading2"/>
      </w:pPr>
      <w:r w:rsidRPr="00BD7DCC">
        <w:t>Demand-side flexibility / demand response</w:t>
      </w:r>
    </w:p>
    <w:p w14:paraId="4CC6DBA5" w14:textId="77777777" w:rsidR="00BD7DCC" w:rsidRPr="00BD7DCC" w:rsidRDefault="00BD7DCC" w:rsidP="00BD7DCC">
      <w:pPr>
        <w:pStyle w:val="NoSpacing"/>
        <w:rPr>
          <w:lang w:val="en-US"/>
        </w:rPr>
      </w:pPr>
      <w:r w:rsidRPr="00BD7DCC">
        <w:rPr>
          <w:lang w:val="en-US"/>
        </w:rPr>
        <w:t>A temporary, controlled change in heat or cooling demand relative to an expected baseline in response to a signal such as a tariff, dispatch instruction, network constraint or renewable-availability forecast. Actions include pre-heating, pre-cooling, setpoint adjustment, DHW scheduling and temporary load reduction. Comfort, hygiene, process requirements and rebound must be respected.</w:t>
      </w:r>
    </w:p>
    <w:p w14:paraId="03E5196B" w14:textId="77777777" w:rsidR="00BD7DCC" w:rsidRPr="00BD7DCC" w:rsidRDefault="00BD7DCC" w:rsidP="00BD7DCC">
      <w:pPr>
        <w:pStyle w:val="Heading2"/>
      </w:pPr>
      <w:r w:rsidRPr="00BD7DCC">
        <w:t>Flexibility baseline</w:t>
      </w:r>
    </w:p>
    <w:p w14:paraId="070CD47F" w14:textId="77777777" w:rsidR="00BD7DCC" w:rsidRPr="00BD7DCC" w:rsidRDefault="00BD7DCC" w:rsidP="00BD7DCC">
      <w:pPr>
        <w:pStyle w:val="NoSpacing"/>
        <w:rPr>
          <w:lang w:val="en-US"/>
        </w:rPr>
      </w:pPr>
      <w:r w:rsidRPr="00BD7DCC">
        <w:rPr>
          <w:lang w:val="en-US"/>
        </w:rPr>
        <w:t xml:space="preserve">The estimated consumption or operating profile that would have occurred without a flexibility activation. It is needed to quantify the delivered response and </w:t>
      </w:r>
      <w:proofErr w:type="gramStart"/>
      <w:r w:rsidRPr="00BD7DCC">
        <w:rPr>
          <w:lang w:val="en-US"/>
        </w:rPr>
        <w:t>may be</w:t>
      </w:r>
      <w:proofErr w:type="gramEnd"/>
      <w:r w:rsidRPr="00BD7DCC">
        <w:rPr>
          <w:lang w:val="en-US"/>
        </w:rPr>
        <w:t xml:space="preserve"> based on historical data, weather-</w:t>
      </w:r>
      <w:proofErr w:type="spellStart"/>
      <w:proofErr w:type="gramStart"/>
      <w:r w:rsidRPr="00BD7DCC">
        <w:rPr>
          <w:lang w:val="en-US"/>
        </w:rPr>
        <w:t>normalised</w:t>
      </w:r>
      <w:proofErr w:type="spellEnd"/>
      <w:proofErr w:type="gramEnd"/>
      <w:r w:rsidRPr="00BD7DCC">
        <w:rPr>
          <w:lang w:val="en-US"/>
        </w:rPr>
        <w:t xml:space="preserve"> models, control schedules or a reference simulation. Baseline uncertainty can be a major source of error in demand-response evaluation and settlement.</w:t>
      </w:r>
    </w:p>
    <w:p w14:paraId="692DFCB4" w14:textId="77777777" w:rsidR="008625A1" w:rsidRPr="00BD7DCC" w:rsidRDefault="008625A1" w:rsidP="008625A1">
      <w:pPr>
        <w:pStyle w:val="Heading2"/>
      </w:pPr>
      <w:r w:rsidRPr="00BD7DCC">
        <w:t>Sector coupling / energy system integration</w:t>
      </w:r>
    </w:p>
    <w:p w14:paraId="24447842" w14:textId="77777777" w:rsidR="008625A1" w:rsidRPr="00BD7DCC" w:rsidRDefault="008625A1" w:rsidP="008625A1">
      <w:pPr>
        <w:pStyle w:val="NoSpacing"/>
        <w:rPr>
          <w:lang w:val="en-US"/>
        </w:rPr>
      </w:pPr>
      <w:r w:rsidRPr="00BD7DCC">
        <w:rPr>
          <w:lang w:val="en-US"/>
        </w:rPr>
        <w:t>Coordinated planning and operation across energy carriers and end-use sectors, especially electricity and heating/cooling. District energy can couple sectors through heat pumps, electric boilers, CHP, thermal storage and shared control. Coupling is beneficial only when conversion losses, infrastructure constraints, prices, emissions and interactions between networks are considered.</w:t>
      </w:r>
    </w:p>
    <w:p w14:paraId="71C640E8" w14:textId="77777777" w:rsidR="008625A1" w:rsidRPr="00BD7DCC" w:rsidRDefault="008625A1" w:rsidP="008625A1">
      <w:pPr>
        <w:pStyle w:val="Heading2"/>
      </w:pPr>
      <w:r w:rsidRPr="00BD7DCC">
        <w:t>Power-to-heat (P2H)</w:t>
      </w:r>
    </w:p>
    <w:p w14:paraId="05A0140D" w14:textId="05A5A9F9" w:rsidR="008625A1" w:rsidRPr="00BD7DCC" w:rsidRDefault="008625A1" w:rsidP="00BD7DCC">
      <w:pPr>
        <w:pStyle w:val="NoSpacing"/>
        <w:rPr>
          <w:lang w:val="en-US"/>
        </w:rPr>
      </w:pPr>
      <w:r w:rsidRPr="00BD7DCC">
        <w:rPr>
          <w:lang w:val="en-US"/>
        </w:rPr>
        <w:t>Conversion of electricity into useful heat using equipment such as resistance or electrode boilers and heat pumps. The heat can meet immediate demand, raise a network temperature or charge storage. Power-to-heat does not inherently use surplus renewable electricity and does not automatically provide a grid service; this depends on dispatch, electricity mix, controls and market qualification.</w:t>
      </w:r>
    </w:p>
    <w:p w14:paraId="123C1A79" w14:textId="10E449C5" w:rsidR="00BD7DCC" w:rsidRPr="00BD7DCC" w:rsidRDefault="00EB6D10" w:rsidP="00BD7DCC">
      <w:pPr>
        <w:pStyle w:val="Heading1"/>
      </w:pPr>
      <w:r>
        <w:br w:type="column"/>
      </w:r>
      <w:r w:rsidR="00BD7DCC" w:rsidRPr="00BD7DCC">
        <w:lastRenderedPageBreak/>
        <w:t>Renewable and recovered heat integration</w:t>
      </w:r>
    </w:p>
    <w:p w14:paraId="26D0506D" w14:textId="77777777" w:rsidR="00BD7DCC" w:rsidRPr="00BD7DCC" w:rsidRDefault="00BD7DCC" w:rsidP="00BD7DCC">
      <w:pPr>
        <w:pStyle w:val="Heading2"/>
      </w:pPr>
      <w:r w:rsidRPr="00BD7DCC">
        <w:t>Renewable heat and cold</w:t>
      </w:r>
    </w:p>
    <w:p w14:paraId="20AA2F7B" w14:textId="77777777" w:rsidR="00BD7DCC" w:rsidRPr="00BD7DCC" w:rsidRDefault="00BD7DCC" w:rsidP="00BD7DCC">
      <w:pPr>
        <w:pStyle w:val="NoSpacing"/>
        <w:rPr>
          <w:lang w:val="en-US"/>
        </w:rPr>
      </w:pPr>
      <w:r w:rsidRPr="00BD7DCC">
        <w:rPr>
          <w:lang w:val="en-US"/>
        </w:rPr>
        <w:t>Useful heating or cooling supplied from renewable energy sources under the applicable accounting rules. Examples can include solar thermal, geothermal energy, sustainably sourced bioenergy and ambient energy captured by heat pumps. Renewable status is an accounting and regulatory attribute and should not be assumed solely from low operating emissions.</w:t>
      </w:r>
    </w:p>
    <w:p w14:paraId="3BEC38E8" w14:textId="77777777" w:rsidR="00BD7DCC" w:rsidRPr="00BD7DCC" w:rsidRDefault="00BD7DCC" w:rsidP="00BD7DCC">
      <w:pPr>
        <w:pStyle w:val="Heading2"/>
      </w:pPr>
      <w:r w:rsidRPr="00BD7DCC">
        <w:t>Variable renewable energy integration</w:t>
      </w:r>
    </w:p>
    <w:p w14:paraId="704FF119" w14:textId="77777777" w:rsidR="00BD7DCC" w:rsidRPr="00BD7DCC" w:rsidRDefault="00BD7DCC" w:rsidP="00BD7DCC">
      <w:pPr>
        <w:pStyle w:val="NoSpacing"/>
        <w:rPr>
          <w:lang w:val="en-US"/>
        </w:rPr>
      </w:pPr>
      <w:r w:rsidRPr="00BD7DCC">
        <w:rPr>
          <w:lang w:val="en-US"/>
        </w:rPr>
        <w:t xml:space="preserve">The coordinated use of flexibility to accommodate renewable </w:t>
      </w:r>
      <w:proofErr w:type="gramStart"/>
      <w:r w:rsidRPr="00BD7DCC">
        <w:rPr>
          <w:lang w:val="en-US"/>
        </w:rPr>
        <w:t>production that</w:t>
      </w:r>
      <w:proofErr w:type="gramEnd"/>
      <w:r w:rsidRPr="00BD7DCC">
        <w:rPr>
          <w:lang w:val="en-US"/>
        </w:rPr>
        <w:t xml:space="preserve"> changes with weather or time, such as solar thermal output and wind- or solar-generated electricity used by power-to-heat equipment. Ambient heat is a renewable source for heat pumps but is not normally classified as variable renewable electricity. Variability, predictability and dispatchability should be stated separately.</w:t>
      </w:r>
    </w:p>
    <w:p w14:paraId="45E13D99" w14:textId="77777777" w:rsidR="00BD7DCC" w:rsidRPr="00BD7DCC" w:rsidRDefault="00BD7DCC" w:rsidP="00BD7DCC">
      <w:pPr>
        <w:pStyle w:val="Heading2"/>
      </w:pPr>
      <w:r w:rsidRPr="00BD7DCC">
        <w:t>Dispatchable renewable heat</w:t>
      </w:r>
    </w:p>
    <w:p w14:paraId="6D04F79D" w14:textId="77777777" w:rsidR="00BD7DCC" w:rsidRPr="00BD7DCC" w:rsidRDefault="00BD7DCC" w:rsidP="00BD7DCC">
      <w:pPr>
        <w:pStyle w:val="NoSpacing"/>
        <w:rPr>
          <w:lang w:val="en-US"/>
        </w:rPr>
      </w:pPr>
      <w:r w:rsidRPr="00BD7DCC">
        <w:rPr>
          <w:lang w:val="en-US"/>
        </w:rPr>
        <w:t>Renewable heat whose output can be scheduled or controlled within technical and resource limits, for example sustainable bioenergy, reservoir-supported geothermal heat or stored solar heat. Dispatchability is not absolute: fuel availability, storage level, environmental permits, minimum load and equipment constraints still apply.</w:t>
      </w:r>
    </w:p>
    <w:p w14:paraId="729C247D" w14:textId="77777777" w:rsidR="00BD7DCC" w:rsidRPr="00BD7DCC" w:rsidRDefault="00BD7DCC" w:rsidP="00BD7DCC">
      <w:pPr>
        <w:pStyle w:val="Heading2"/>
      </w:pPr>
      <w:r w:rsidRPr="00BD7DCC">
        <w:t>Ambient / environmental heat</w:t>
      </w:r>
    </w:p>
    <w:p w14:paraId="6B30C352" w14:textId="77777777" w:rsidR="00BD7DCC" w:rsidRPr="00BD7DCC" w:rsidRDefault="00BD7DCC" w:rsidP="00BD7DCC">
      <w:pPr>
        <w:pStyle w:val="NoSpacing"/>
        <w:rPr>
          <w:lang w:val="en-US"/>
        </w:rPr>
      </w:pPr>
      <w:r w:rsidRPr="00BD7DCC">
        <w:rPr>
          <w:lang w:val="en-US"/>
        </w:rPr>
        <w:t>Low-temperature energy available from air, surface water, groundwater, soil or other environmental sources and upgraded by a heat pump where necessary. Its usable output depends on source temperature, seasonal variation, extraction limits, environmental constraints and the required temperature lift.</w:t>
      </w:r>
    </w:p>
    <w:p w14:paraId="48C220FE" w14:textId="77777777" w:rsidR="00BD7DCC" w:rsidRPr="00BD7DCC" w:rsidRDefault="00BD7DCC" w:rsidP="00BD7DCC">
      <w:pPr>
        <w:pStyle w:val="Heading2"/>
      </w:pPr>
      <w:r w:rsidRPr="00BD7DCC">
        <w:t>Solar district heating</w:t>
      </w:r>
    </w:p>
    <w:p w14:paraId="5A788205" w14:textId="77777777" w:rsidR="00BD7DCC" w:rsidRPr="00BD7DCC" w:rsidRDefault="00BD7DCC" w:rsidP="00BD7DCC">
      <w:pPr>
        <w:pStyle w:val="NoSpacing"/>
        <w:rPr>
          <w:lang w:val="en-US"/>
        </w:rPr>
      </w:pPr>
      <w:r w:rsidRPr="00BD7DCC">
        <w:rPr>
          <w:lang w:val="en-US"/>
        </w:rPr>
        <w:t>A district heating system in which solar thermal collectors supply useful heat to the network, directly through an interface or via short-term or seasonal storage. Solar contribution is weather- and season-dependent, and integration design must address collector temperature, return temperature, stagnation, land area, storage and backup supply.</w:t>
      </w:r>
    </w:p>
    <w:p w14:paraId="5C20DA2C" w14:textId="77777777" w:rsidR="00BD7DCC" w:rsidRPr="00BD7DCC" w:rsidRDefault="00BD7DCC" w:rsidP="00BD7DCC">
      <w:pPr>
        <w:pStyle w:val="Heading2"/>
      </w:pPr>
      <w:r w:rsidRPr="00BD7DCC">
        <w:t>Geothermal district heating</w:t>
      </w:r>
    </w:p>
    <w:p w14:paraId="735EBA73" w14:textId="77777777" w:rsidR="00BD7DCC" w:rsidRPr="00BD7DCC" w:rsidRDefault="00BD7DCC" w:rsidP="00BD7DCC">
      <w:pPr>
        <w:pStyle w:val="NoSpacing"/>
        <w:rPr>
          <w:lang w:val="en-US"/>
        </w:rPr>
      </w:pPr>
      <w:r w:rsidRPr="00BD7DCC">
        <w:rPr>
          <w:lang w:val="en-US"/>
        </w:rPr>
        <w:t>The use of heat extracted from geological formations or groundwater to supply a district network, directly where the source temperature is sufficient or through heat pumps where upgrading is required. Resource temperature, sustainable extraction rate, reinjection, mineral chemistry, drilling risk and local geology determine performance.</w:t>
      </w:r>
    </w:p>
    <w:p w14:paraId="1423C045" w14:textId="77777777" w:rsidR="00BD7DCC" w:rsidRPr="00BD7DCC" w:rsidRDefault="00BD7DCC" w:rsidP="00BD7DCC">
      <w:pPr>
        <w:pStyle w:val="Heading2"/>
      </w:pPr>
      <w:r w:rsidRPr="00BD7DCC">
        <w:t>Excess heat, waste heat and recovered heat</w:t>
      </w:r>
    </w:p>
    <w:p w14:paraId="3A93DF86" w14:textId="77777777" w:rsidR="00BD7DCC" w:rsidRPr="00BD7DCC" w:rsidRDefault="00BD7DCC" w:rsidP="00BD7DCC">
      <w:pPr>
        <w:pStyle w:val="NoSpacing"/>
        <w:rPr>
          <w:lang w:val="en-US"/>
        </w:rPr>
      </w:pPr>
      <w:r w:rsidRPr="00BD7DCC">
        <w:rPr>
          <w:lang w:val="en-US"/>
        </w:rPr>
        <w:t>Thermal energy generated as a by-product of another process and captured for useful application instead of being rejected. The terms are often used differently in engineering, contracts and legislation; recovered heat is not automatically renewable. Assessment must consider temperature, continuity, location, ownership, alternative uses, additional energy for recovery and the risk that the host process changes or closes.</w:t>
      </w:r>
    </w:p>
    <w:p w14:paraId="55F2E3F5" w14:textId="77777777" w:rsidR="00BD7DCC" w:rsidRPr="00BD7DCC" w:rsidRDefault="00BD7DCC" w:rsidP="00BD7DCC">
      <w:pPr>
        <w:pStyle w:val="Heading2"/>
      </w:pPr>
      <w:r w:rsidRPr="00BD7DCC">
        <w:t>Low-grade / low-temperature heat</w:t>
      </w:r>
    </w:p>
    <w:p w14:paraId="62200465" w14:textId="77777777" w:rsidR="00BD7DCC" w:rsidRPr="00BD7DCC" w:rsidRDefault="00BD7DCC" w:rsidP="00BD7DCC">
      <w:pPr>
        <w:pStyle w:val="NoSpacing"/>
        <w:rPr>
          <w:lang w:val="en-US"/>
        </w:rPr>
      </w:pPr>
      <w:r w:rsidRPr="00BD7DCC">
        <w:rPr>
          <w:lang w:val="en-US"/>
        </w:rPr>
        <w:t xml:space="preserve">Heat </w:t>
      </w:r>
      <w:proofErr w:type="gramStart"/>
      <w:r w:rsidRPr="00BD7DCC">
        <w:rPr>
          <w:lang w:val="en-US"/>
        </w:rPr>
        <w:t>available</w:t>
      </w:r>
      <w:proofErr w:type="gramEnd"/>
      <w:r w:rsidRPr="00BD7DCC">
        <w:rPr>
          <w:lang w:val="en-US"/>
        </w:rPr>
        <w:t xml:space="preserve"> at a temperature too low for direct use in the intended application or network condition, but potentially usable through lower network temperatures, cascading, heat exchange or a heat pump. “Low-grade” refers to temperature quality and exergy, not to poor reliability or low economic value.</w:t>
      </w:r>
    </w:p>
    <w:p w14:paraId="01558118" w14:textId="77777777" w:rsidR="00BD7DCC" w:rsidRPr="00BD7DCC" w:rsidRDefault="00BD7DCC" w:rsidP="00BD7DCC">
      <w:pPr>
        <w:pStyle w:val="Heading2"/>
      </w:pPr>
      <w:r w:rsidRPr="00BD7DCC">
        <w:t>Source temperature and temperature lift</w:t>
      </w:r>
    </w:p>
    <w:p w14:paraId="4846267F" w14:textId="77777777" w:rsidR="00BD7DCC" w:rsidRPr="00BD7DCC" w:rsidRDefault="00BD7DCC" w:rsidP="00BD7DCC">
      <w:pPr>
        <w:pStyle w:val="NoSpacing"/>
        <w:rPr>
          <w:lang w:val="en-US"/>
        </w:rPr>
      </w:pPr>
      <w:r w:rsidRPr="00BD7DCC">
        <w:rPr>
          <w:lang w:val="en-US"/>
        </w:rPr>
        <w:t>Source temperature is the temperature level from which useful heat is recovered. Temperature lift is the difference between the heat-pump source and sink temperature levels, defined using stated measurement points. A smaller lift generally improves heat-pump efficiency and capacity, while network return temperature and required supply temperature strongly influence the lift.</w:t>
      </w:r>
    </w:p>
    <w:p w14:paraId="423A8BBB" w14:textId="02C25D50" w:rsidR="00BD7DCC" w:rsidRPr="00BD7DCC" w:rsidRDefault="00BD7DCC" w:rsidP="00BD7DCC">
      <w:pPr>
        <w:pStyle w:val="Heading1"/>
      </w:pPr>
      <w:r w:rsidRPr="00BD7DCC">
        <w:lastRenderedPageBreak/>
        <w:t>Thermal energy storage principles and performance</w:t>
      </w:r>
    </w:p>
    <w:p w14:paraId="5B0F655D" w14:textId="77777777" w:rsidR="00BD7DCC" w:rsidRPr="00BD7DCC" w:rsidRDefault="00BD7DCC" w:rsidP="00BD7DCC">
      <w:pPr>
        <w:pStyle w:val="Heading2"/>
      </w:pPr>
      <w:r w:rsidRPr="00BD7DCC">
        <w:t>Thermal energy storage (TES)</w:t>
      </w:r>
    </w:p>
    <w:p w14:paraId="78B09838" w14:textId="77777777" w:rsidR="00BD7DCC" w:rsidRPr="00BD7DCC" w:rsidRDefault="00BD7DCC" w:rsidP="00BD7DCC">
      <w:pPr>
        <w:pStyle w:val="NoSpacing"/>
        <w:rPr>
          <w:lang w:val="en-US"/>
        </w:rPr>
      </w:pPr>
      <w:r w:rsidRPr="00BD7DCC">
        <w:rPr>
          <w:lang w:val="en-US"/>
        </w:rPr>
        <w:t xml:space="preserve">A system that charges, retains and later releases thermal energy as heat or cold, thereby decoupling the timing of thermal production from use. Storage may be sensible, latent or thermochemical and may operate over minutes, hours, days or seasons. It enables flexibility but is not automatically essential or </w:t>
      </w:r>
      <w:proofErr w:type="gramStart"/>
      <w:r w:rsidRPr="00BD7DCC">
        <w:rPr>
          <w:lang w:val="en-US"/>
        </w:rPr>
        <w:t>economic</w:t>
      </w:r>
      <w:proofErr w:type="gramEnd"/>
      <w:r w:rsidRPr="00BD7DCC">
        <w:rPr>
          <w:lang w:val="en-US"/>
        </w:rPr>
        <w:t xml:space="preserve"> in every district-energy system.</w:t>
      </w:r>
    </w:p>
    <w:p w14:paraId="3FDD6FCE" w14:textId="77777777" w:rsidR="00BD7DCC" w:rsidRPr="00BD7DCC" w:rsidRDefault="00BD7DCC" w:rsidP="00BD7DCC">
      <w:pPr>
        <w:pStyle w:val="Heading2"/>
      </w:pPr>
      <w:r w:rsidRPr="00BD7DCC">
        <w:t>Storage capacity and usable capacity</w:t>
      </w:r>
    </w:p>
    <w:p w14:paraId="2D170947" w14:textId="77777777" w:rsidR="00BD7DCC" w:rsidRPr="00BD7DCC" w:rsidRDefault="00BD7DCC" w:rsidP="00BD7DCC">
      <w:pPr>
        <w:pStyle w:val="NoSpacing"/>
        <w:rPr>
          <w:lang w:val="en-US"/>
        </w:rPr>
      </w:pPr>
      <w:r w:rsidRPr="00BD7DCC">
        <w:rPr>
          <w:lang w:val="en-US"/>
        </w:rPr>
        <w:t xml:space="preserve">Storage capacity is the thermal energy associated with a stated temperature, phase or reaction range. Usable capacity is the portion that can </w:t>
      </w:r>
      <w:proofErr w:type="gramStart"/>
      <w:r w:rsidRPr="00BD7DCC">
        <w:rPr>
          <w:lang w:val="en-US"/>
        </w:rPr>
        <w:t>actually be</w:t>
      </w:r>
      <w:proofErr w:type="gramEnd"/>
      <w:r w:rsidRPr="00BD7DCC">
        <w:rPr>
          <w:lang w:val="en-US"/>
        </w:rPr>
        <w:t xml:space="preserve"> charged and discharged while respecting minimum and maximum temperatures, state-of-charge limits, heat-exchanger approach, network requirements and reserve margins. Nameplate and usable capacity are therefore not necessarily equal.</w:t>
      </w:r>
    </w:p>
    <w:p w14:paraId="67CBC1A8" w14:textId="77777777" w:rsidR="00BD7DCC" w:rsidRPr="00BD7DCC" w:rsidRDefault="00BD7DCC" w:rsidP="00BD7DCC">
      <w:pPr>
        <w:pStyle w:val="Heading2"/>
      </w:pPr>
      <w:r w:rsidRPr="00BD7DCC">
        <w:t>Charge and discharge power</w:t>
      </w:r>
    </w:p>
    <w:p w14:paraId="0ED13435" w14:textId="77777777" w:rsidR="00BD7DCC" w:rsidRPr="00BD7DCC" w:rsidRDefault="00BD7DCC" w:rsidP="00BD7DCC">
      <w:pPr>
        <w:pStyle w:val="NoSpacing"/>
        <w:rPr>
          <w:lang w:val="en-US"/>
        </w:rPr>
      </w:pPr>
      <w:r w:rsidRPr="00BD7DCC">
        <w:rPr>
          <w:lang w:val="en-US"/>
        </w:rPr>
        <w:t>The maximum or operating rate at which thermal energy can be added to or removed from storage. Power is distinct from energy capacity and may be limited by pumps, wells, heat exchangers, temperature differences, stratification, ground conductivity or process constraints. Separate charge and discharge ratings may be required.</w:t>
      </w:r>
    </w:p>
    <w:p w14:paraId="0ACC977E" w14:textId="77777777" w:rsidR="00BD7DCC" w:rsidRPr="00BD7DCC" w:rsidRDefault="00BD7DCC" w:rsidP="00BD7DCC">
      <w:pPr>
        <w:pStyle w:val="Heading2"/>
      </w:pPr>
      <w:r w:rsidRPr="00BD7DCC">
        <w:t>State of charge (SoC)</w:t>
      </w:r>
    </w:p>
    <w:p w14:paraId="65DC8620" w14:textId="77777777" w:rsidR="00BD7DCC" w:rsidRPr="00BD7DCC" w:rsidRDefault="00BD7DCC" w:rsidP="00BD7DCC">
      <w:pPr>
        <w:pStyle w:val="NoSpacing"/>
        <w:rPr>
          <w:lang w:val="en-US"/>
        </w:rPr>
      </w:pPr>
      <w:r w:rsidRPr="00BD7DCC">
        <w:rPr>
          <w:lang w:val="en-US"/>
        </w:rPr>
        <w:t xml:space="preserve">An estimate of the currently usable stored energy relative to defined minimum and maximum states. For a well-mixed water </w:t>
      </w:r>
      <w:proofErr w:type="gramStart"/>
      <w:r w:rsidRPr="00BD7DCC">
        <w:rPr>
          <w:lang w:val="en-US"/>
        </w:rPr>
        <w:t>tank</w:t>
      </w:r>
      <w:proofErr w:type="gramEnd"/>
      <w:r w:rsidRPr="00BD7DCC">
        <w:rPr>
          <w:lang w:val="en-US"/>
        </w:rPr>
        <w:t xml:space="preserve"> it may be related to temperature; for stratified, underground, latent or thermochemical stores it may require a model or multiple measurements. The reference temperatures and calculation method should be stated.</w:t>
      </w:r>
    </w:p>
    <w:p w14:paraId="58127328" w14:textId="77777777" w:rsidR="00BD7DCC" w:rsidRPr="00BD7DCC" w:rsidRDefault="00BD7DCC" w:rsidP="00BD7DCC">
      <w:pPr>
        <w:pStyle w:val="Heading2"/>
      </w:pPr>
      <w:r w:rsidRPr="00BD7DCC">
        <w:t>Storage duration</w:t>
      </w:r>
    </w:p>
    <w:p w14:paraId="56D8B732" w14:textId="77777777" w:rsidR="00BD7DCC" w:rsidRPr="00BD7DCC" w:rsidRDefault="00BD7DCC" w:rsidP="00BD7DCC">
      <w:pPr>
        <w:pStyle w:val="NoSpacing"/>
        <w:rPr>
          <w:lang w:val="en-US"/>
        </w:rPr>
      </w:pPr>
      <w:r w:rsidRPr="00BD7DCC">
        <w:rPr>
          <w:lang w:val="en-US"/>
        </w:rPr>
        <w:t>The time for which a store can discharge at a stated power before reaching its minimum usable state, commonly approximated as usable energy divided by discharge power. Duration does not alone describe response speed, seasonal retention or the ability to repeat activations.</w:t>
      </w:r>
    </w:p>
    <w:p w14:paraId="52F8E80F" w14:textId="77777777" w:rsidR="00BD7DCC" w:rsidRPr="00BD7DCC" w:rsidRDefault="00BD7DCC" w:rsidP="00BD7DCC">
      <w:pPr>
        <w:pStyle w:val="Heading2"/>
      </w:pPr>
      <w:r w:rsidRPr="00BD7DCC">
        <w:t>Round-trip / cycle efficiency</w:t>
      </w:r>
    </w:p>
    <w:p w14:paraId="31EB5AB2" w14:textId="77777777" w:rsidR="00BD7DCC" w:rsidRPr="00BD7DCC" w:rsidRDefault="00BD7DCC" w:rsidP="00BD7DCC">
      <w:pPr>
        <w:pStyle w:val="NoSpacing"/>
        <w:rPr>
          <w:lang w:val="en-US"/>
        </w:rPr>
      </w:pPr>
      <w:r w:rsidRPr="00BD7DCC">
        <w:rPr>
          <w:lang w:val="en-US"/>
        </w:rPr>
        <w:t>The useful thermal energy recovered from a complete charge-storage-discharge cycle divided by the energy used to charge the store, with the system boundary clearly stated. Pumping, heat-pump electricity, auxiliary heating and temperature quality may need separate treatment; a heat-only energy ratio can hide exergy or electricity penalties.</w:t>
      </w:r>
    </w:p>
    <w:p w14:paraId="2D0330F0" w14:textId="77777777" w:rsidR="00BD7DCC" w:rsidRPr="00BD7DCC" w:rsidRDefault="00BD7DCC" w:rsidP="00BD7DCC">
      <w:pPr>
        <w:pStyle w:val="Heading2"/>
      </w:pPr>
      <w:r w:rsidRPr="00BD7DCC">
        <w:t>Standing heat loss / self-discharge</w:t>
      </w:r>
    </w:p>
    <w:p w14:paraId="6E792B98" w14:textId="77777777" w:rsidR="00BD7DCC" w:rsidRPr="00BD7DCC" w:rsidRDefault="00BD7DCC" w:rsidP="00BD7DCC">
      <w:pPr>
        <w:pStyle w:val="NoSpacing"/>
        <w:rPr>
          <w:lang w:val="en-US"/>
        </w:rPr>
      </w:pPr>
      <w:r w:rsidRPr="00BD7DCC">
        <w:rPr>
          <w:lang w:val="en-US"/>
        </w:rPr>
        <w:t>The reduction in usable stored energy with time when no useful discharge occurs, caused by heat transfer to the surroundings, groundwater movement, mixing or material processes. The rate depends on geometry, insulation, temperature difference, storage duration and boundary conditions and is especially important for long-duration storage.</w:t>
      </w:r>
    </w:p>
    <w:p w14:paraId="398A6034" w14:textId="77777777" w:rsidR="00BD7DCC" w:rsidRPr="00BD7DCC" w:rsidRDefault="00BD7DCC" w:rsidP="00BD7DCC">
      <w:pPr>
        <w:pStyle w:val="Heading2"/>
      </w:pPr>
      <w:r w:rsidRPr="00BD7DCC">
        <w:t>Thermal stratification and thermocline</w:t>
      </w:r>
    </w:p>
    <w:p w14:paraId="0C9979A5" w14:textId="77777777" w:rsidR="00BD7DCC" w:rsidRPr="00BD7DCC" w:rsidRDefault="00BD7DCC" w:rsidP="00BD7DCC">
      <w:pPr>
        <w:pStyle w:val="NoSpacing"/>
        <w:rPr>
          <w:lang w:val="en-US"/>
        </w:rPr>
      </w:pPr>
      <w:r w:rsidRPr="00BD7DCC">
        <w:rPr>
          <w:lang w:val="en-US"/>
        </w:rPr>
        <w:t>The formation of layers at different temperatures, normally with warmer, less-dense water above colder water. The thermocline is the transition zone between layers. Preserving stratification can increase usable temperature quality and reduce mixing losses; poor inlet design, excessive flow and internal circulation can degrade it.</w:t>
      </w:r>
    </w:p>
    <w:p w14:paraId="76DC5EBE" w14:textId="77777777" w:rsidR="00BD7DCC" w:rsidRPr="00BD7DCC" w:rsidRDefault="00BD7DCC" w:rsidP="00BD7DCC">
      <w:pPr>
        <w:pStyle w:val="Heading2"/>
      </w:pPr>
      <w:proofErr w:type="gramStart"/>
      <w:r w:rsidRPr="00BD7DCC">
        <w:t>Storage cycling</w:t>
      </w:r>
      <w:proofErr w:type="gramEnd"/>
      <w:r w:rsidRPr="00BD7DCC">
        <w:t xml:space="preserve"> and degradation</w:t>
      </w:r>
    </w:p>
    <w:p w14:paraId="7F2B9AE0" w14:textId="77777777" w:rsidR="00BD7DCC" w:rsidRPr="00BD7DCC" w:rsidRDefault="00BD7DCC" w:rsidP="00BD7DCC">
      <w:pPr>
        <w:pStyle w:val="NoSpacing"/>
        <w:rPr>
          <w:lang w:val="en-US"/>
        </w:rPr>
      </w:pPr>
      <w:r w:rsidRPr="00BD7DCC">
        <w:rPr>
          <w:lang w:val="en-US"/>
        </w:rPr>
        <w:t xml:space="preserve">Repeated charging and discharging of a store. Cycling frequency and depth influence losses, operating </w:t>
      </w:r>
      <w:proofErr w:type="gramStart"/>
      <w:r w:rsidRPr="00BD7DCC">
        <w:rPr>
          <w:lang w:val="en-US"/>
        </w:rPr>
        <w:t>cost</w:t>
      </w:r>
      <w:proofErr w:type="gramEnd"/>
      <w:r w:rsidRPr="00BD7DCC">
        <w:rPr>
          <w:lang w:val="en-US"/>
        </w:rPr>
        <w:t xml:space="preserve"> and, for some materials or equipment, degradation. Underground stores may also require several years of thermal development before reaching stable seasonal performance, so first-year results may not represent mature operation.</w:t>
      </w:r>
    </w:p>
    <w:p w14:paraId="46E18D51" w14:textId="609CF9A5" w:rsidR="00BD7DCC" w:rsidRPr="00BD7DCC" w:rsidRDefault="00BD7DCC" w:rsidP="00BD7DCC">
      <w:pPr>
        <w:pStyle w:val="Heading1"/>
      </w:pPr>
      <w:r w:rsidRPr="00BD7DCC">
        <w:lastRenderedPageBreak/>
        <w:t>Storage technologies and locations</w:t>
      </w:r>
    </w:p>
    <w:p w14:paraId="55F745B3" w14:textId="77777777" w:rsidR="00BD7DCC" w:rsidRPr="00BD7DCC" w:rsidRDefault="00BD7DCC" w:rsidP="00BD7DCC">
      <w:pPr>
        <w:pStyle w:val="Heading2"/>
      </w:pPr>
      <w:r w:rsidRPr="00BD7DCC">
        <w:t>Short-term / buffer storage</w:t>
      </w:r>
    </w:p>
    <w:p w14:paraId="0A39C5BD" w14:textId="77777777" w:rsidR="00BD7DCC" w:rsidRPr="00BD7DCC" w:rsidRDefault="00BD7DCC" w:rsidP="00BD7DCC">
      <w:pPr>
        <w:pStyle w:val="NoSpacing"/>
        <w:rPr>
          <w:lang w:val="en-US"/>
        </w:rPr>
      </w:pPr>
      <w:r w:rsidRPr="00BD7DCC">
        <w:rPr>
          <w:lang w:val="en-US"/>
        </w:rPr>
        <w:t>Thermal storage used mainly to smooth short-term differences between production and demand, reduce cycling, provide hydraulic separation or shift energy over minutes to several days. “Buffer” describes function rather than a universal size or duration; the appropriate volume depends on the required power, energy and control objective.</w:t>
      </w:r>
    </w:p>
    <w:p w14:paraId="656391BD" w14:textId="77777777" w:rsidR="00BD7DCC" w:rsidRPr="00BD7DCC" w:rsidRDefault="00BD7DCC" w:rsidP="00BD7DCC">
      <w:pPr>
        <w:pStyle w:val="Heading2"/>
      </w:pPr>
      <w:r w:rsidRPr="00BD7DCC">
        <w:t>Stratified hot-water storage tank</w:t>
      </w:r>
    </w:p>
    <w:p w14:paraId="37DAF4B3" w14:textId="77777777" w:rsidR="00BD7DCC" w:rsidRPr="00BD7DCC" w:rsidRDefault="00BD7DCC" w:rsidP="00BD7DCC">
      <w:pPr>
        <w:pStyle w:val="NoSpacing"/>
        <w:rPr>
          <w:lang w:val="en-US"/>
        </w:rPr>
      </w:pPr>
      <w:r w:rsidRPr="00BD7DCC">
        <w:rPr>
          <w:lang w:val="en-US"/>
        </w:rPr>
        <w:t xml:space="preserve">A water tank </w:t>
      </w:r>
      <w:proofErr w:type="gramStart"/>
      <w:r w:rsidRPr="00BD7DCC">
        <w:rPr>
          <w:lang w:val="en-US"/>
        </w:rPr>
        <w:t>designed</w:t>
      </w:r>
      <w:proofErr w:type="gramEnd"/>
      <w:r w:rsidRPr="00BD7DCC">
        <w:rPr>
          <w:lang w:val="en-US"/>
        </w:rPr>
        <w:t xml:space="preserve"> to maintain temperature layers through suitable geometry, diffusers, flow rates and control. It can provide rapid charging and discharging and is widely used for daily balancing. Performance should be assessed by usable energy, temperature quality, heat loss, pressure arrangement and degradation of the thermocline.</w:t>
      </w:r>
    </w:p>
    <w:p w14:paraId="65EA4639" w14:textId="77777777" w:rsidR="00BD7DCC" w:rsidRPr="00BD7DCC" w:rsidRDefault="00BD7DCC" w:rsidP="00BD7DCC">
      <w:pPr>
        <w:pStyle w:val="Heading2"/>
      </w:pPr>
      <w:r w:rsidRPr="00BD7DCC">
        <w:t xml:space="preserve">Network thermal inertia / </w:t>
      </w:r>
      <w:proofErr w:type="spellStart"/>
      <w:r w:rsidRPr="00BD7DCC">
        <w:t>linepack</w:t>
      </w:r>
      <w:proofErr w:type="spellEnd"/>
    </w:p>
    <w:p w14:paraId="6794F8AF" w14:textId="77777777" w:rsidR="00BD7DCC" w:rsidRPr="00BD7DCC" w:rsidRDefault="00BD7DCC" w:rsidP="00BD7DCC">
      <w:pPr>
        <w:pStyle w:val="NoSpacing"/>
        <w:rPr>
          <w:lang w:val="en-US"/>
        </w:rPr>
      </w:pPr>
      <w:r w:rsidRPr="00BD7DCC">
        <w:rPr>
          <w:lang w:val="en-US"/>
        </w:rPr>
        <w:t xml:space="preserve">The temporary storage effect provided by the thermal mass of water and pipes in a district network when temperatures are varied within acceptable limits. It can shift heat production over short periods without a separate tank, but available energy is location-dependent and constrained by customer supply temperatures, transport </w:t>
      </w:r>
      <w:proofErr w:type="gramStart"/>
      <w:r w:rsidRPr="00BD7DCC">
        <w:rPr>
          <w:lang w:val="en-US"/>
        </w:rPr>
        <w:t>delay</w:t>
      </w:r>
      <w:proofErr w:type="gramEnd"/>
      <w:r w:rsidRPr="00BD7DCC">
        <w:rPr>
          <w:lang w:val="en-US"/>
        </w:rPr>
        <w:t>, heat loss and hydraulic operation.</w:t>
      </w:r>
    </w:p>
    <w:p w14:paraId="591534B4" w14:textId="77777777" w:rsidR="00BD7DCC" w:rsidRPr="00BD7DCC" w:rsidRDefault="00BD7DCC" w:rsidP="00BD7DCC">
      <w:pPr>
        <w:pStyle w:val="Heading2"/>
      </w:pPr>
      <w:r w:rsidRPr="00BD7DCC">
        <w:t>Building thermal mass as virtual storage</w:t>
      </w:r>
    </w:p>
    <w:p w14:paraId="1D93C325" w14:textId="77777777" w:rsidR="00BD7DCC" w:rsidRPr="00BD7DCC" w:rsidRDefault="00BD7DCC" w:rsidP="00BD7DCC">
      <w:pPr>
        <w:pStyle w:val="NoSpacing"/>
        <w:rPr>
          <w:lang w:val="en-US"/>
        </w:rPr>
      </w:pPr>
      <w:r w:rsidRPr="00BD7DCC">
        <w:rPr>
          <w:lang w:val="en-US"/>
        </w:rPr>
        <w:t>Use of the heat capacity of the building fabric and indoor environment to shift heating or cooling demand through controlled pre-heating, pre-cooling or temporary setpoint changes. It is a flexibility resource rather than a separately contained store and is constrained by comfort, occupancy</w:t>
      </w:r>
      <w:proofErr w:type="gramStart"/>
      <w:r w:rsidRPr="00BD7DCC">
        <w:rPr>
          <w:lang w:val="en-US"/>
        </w:rPr>
        <w:t>, building</w:t>
      </w:r>
      <w:proofErr w:type="gramEnd"/>
      <w:r w:rsidRPr="00BD7DCC">
        <w:rPr>
          <w:lang w:val="en-US"/>
        </w:rPr>
        <w:t xml:space="preserve"> dynamics, weather, ventilation and rebound.</w:t>
      </w:r>
    </w:p>
    <w:p w14:paraId="273CB7FF" w14:textId="77777777" w:rsidR="00BD7DCC" w:rsidRPr="00BD7DCC" w:rsidRDefault="00BD7DCC" w:rsidP="00BD7DCC">
      <w:pPr>
        <w:pStyle w:val="Heading2"/>
      </w:pPr>
      <w:r w:rsidRPr="00BD7DCC">
        <w:t>Seasonal thermal energy storage (STES)</w:t>
      </w:r>
    </w:p>
    <w:p w14:paraId="5F6B669C" w14:textId="77777777" w:rsidR="00BD7DCC" w:rsidRPr="00BD7DCC" w:rsidRDefault="00BD7DCC" w:rsidP="00BD7DCC">
      <w:pPr>
        <w:pStyle w:val="NoSpacing"/>
        <w:rPr>
          <w:lang w:val="en-US"/>
        </w:rPr>
      </w:pPr>
      <w:r w:rsidRPr="00BD7DCC">
        <w:rPr>
          <w:lang w:val="en-US"/>
        </w:rPr>
        <w:t>Large-energy-capacity storage intended to shift heat or cold across weeks or seasons, such as summer-to-winter heat storage or winter-to-summer cold storage. Seasonal classification refers to operating timescale, not a specific technology. Feasibility depends on low specific cost, acceptable long-term loss, geology, land, temperature levels and annual cycling strategy.</w:t>
      </w:r>
    </w:p>
    <w:p w14:paraId="364C589F" w14:textId="77777777" w:rsidR="00BD7DCC" w:rsidRPr="00BD7DCC" w:rsidRDefault="00BD7DCC" w:rsidP="00BD7DCC">
      <w:pPr>
        <w:pStyle w:val="Heading2"/>
      </w:pPr>
      <w:r w:rsidRPr="00BD7DCC">
        <w:t>Pit thermal energy storage (PTES)</w:t>
      </w:r>
    </w:p>
    <w:p w14:paraId="29F09F75" w14:textId="77777777" w:rsidR="00BD7DCC" w:rsidRPr="00BD7DCC" w:rsidRDefault="00BD7DCC" w:rsidP="00BD7DCC">
      <w:pPr>
        <w:pStyle w:val="NoSpacing"/>
        <w:rPr>
          <w:lang w:val="en-US"/>
        </w:rPr>
      </w:pPr>
      <w:r w:rsidRPr="00BD7DCC">
        <w:rPr>
          <w:lang w:val="en-US"/>
        </w:rPr>
        <w:t xml:space="preserve">A large lined and covered excavation used mainly for sensible thermal storage, commonly filled with water and in some designs with water plus gravel, sand or soil. PTES </w:t>
      </w:r>
      <w:proofErr w:type="gramStart"/>
      <w:r w:rsidRPr="00BD7DCC">
        <w:rPr>
          <w:lang w:val="en-US"/>
        </w:rPr>
        <w:t>is</w:t>
      </w:r>
      <w:proofErr w:type="gramEnd"/>
      <w:r w:rsidRPr="00BD7DCC">
        <w:rPr>
          <w:lang w:val="en-US"/>
        </w:rPr>
        <w:t xml:space="preserve"> often integrated with solar thermal, heat pumps or excess heat. Design must address liner and cover durability, insulation, groundwater, stratification, evaporation control and temperature limits.</w:t>
      </w:r>
    </w:p>
    <w:p w14:paraId="0F22213A" w14:textId="77777777" w:rsidR="00BD7DCC" w:rsidRPr="00BD7DCC" w:rsidRDefault="00BD7DCC" w:rsidP="00BD7DCC">
      <w:pPr>
        <w:pStyle w:val="Heading2"/>
      </w:pPr>
      <w:r w:rsidRPr="00BD7DCC">
        <w:t>Borehole thermal energy storage (BTES)</w:t>
      </w:r>
    </w:p>
    <w:p w14:paraId="2B6159C1" w14:textId="77777777" w:rsidR="00BD7DCC" w:rsidRPr="00BD7DCC" w:rsidRDefault="00BD7DCC" w:rsidP="00BD7DCC">
      <w:pPr>
        <w:pStyle w:val="NoSpacing"/>
        <w:rPr>
          <w:lang w:val="en-US"/>
        </w:rPr>
      </w:pPr>
      <w:r w:rsidRPr="00BD7DCC">
        <w:rPr>
          <w:lang w:val="en-US"/>
        </w:rPr>
        <w:t>Underground sensible storage using an array of closed-loop borehole heat exchangers that inject or extract heat from surrounding soil or rock. Groundwater is not normally pumped from the store. BTES generally has slow thermal response and benefits from large volume and seasonal operation; heat pumps may be required depending on the stored and required temperatures.</w:t>
      </w:r>
    </w:p>
    <w:p w14:paraId="50BD16FB" w14:textId="77777777" w:rsidR="00BD7DCC" w:rsidRPr="00BD7DCC" w:rsidRDefault="00BD7DCC" w:rsidP="00BD7DCC">
      <w:pPr>
        <w:pStyle w:val="Heading2"/>
      </w:pPr>
      <w:r w:rsidRPr="00BD7DCC">
        <w:t>Aquifer thermal energy storage (ATES)</w:t>
      </w:r>
    </w:p>
    <w:p w14:paraId="01277B2C" w14:textId="77777777" w:rsidR="00BD7DCC" w:rsidRPr="00BD7DCC" w:rsidRDefault="00BD7DCC" w:rsidP="00BD7DCC">
      <w:pPr>
        <w:pStyle w:val="NoSpacing"/>
        <w:rPr>
          <w:lang w:val="en-US"/>
        </w:rPr>
      </w:pPr>
      <w:r w:rsidRPr="00BD7DCC">
        <w:rPr>
          <w:lang w:val="en-US"/>
        </w:rPr>
        <w:t>Underground storage using groundwater pumped between warm and cold wells in a suitable aquifer. Heat or cold is stored in the aquifer and recovered later, often through heat exchangers and heat pumps. Hydrogeology, groundwater chemistry, well spacing, thermal breakthrough, environmental permits and balanced annual extraction/injection are critical.</w:t>
      </w:r>
    </w:p>
    <w:p w14:paraId="62ACEE3F" w14:textId="77777777" w:rsidR="00BD7DCC" w:rsidRPr="00BD7DCC" w:rsidRDefault="00BD7DCC" w:rsidP="00BD7DCC">
      <w:pPr>
        <w:pStyle w:val="Heading2"/>
      </w:pPr>
      <w:proofErr w:type="spellStart"/>
      <w:r w:rsidRPr="00BD7DCC">
        <w:t>Centralised</w:t>
      </w:r>
      <w:proofErr w:type="spellEnd"/>
      <w:r w:rsidRPr="00BD7DCC">
        <w:t xml:space="preserve"> and distributed storage</w:t>
      </w:r>
    </w:p>
    <w:p w14:paraId="1F3CC79F" w14:textId="77777777" w:rsidR="00BD7DCC" w:rsidRPr="00BD7DCC" w:rsidRDefault="00BD7DCC" w:rsidP="00BD7DCC">
      <w:pPr>
        <w:pStyle w:val="NoSpacing"/>
        <w:rPr>
          <w:lang w:val="en-US"/>
        </w:rPr>
      </w:pPr>
      <w:proofErr w:type="spellStart"/>
      <w:r w:rsidRPr="00BD7DCC">
        <w:rPr>
          <w:lang w:val="en-US"/>
        </w:rPr>
        <w:t>Centralised</w:t>
      </w:r>
      <w:proofErr w:type="spellEnd"/>
      <w:r w:rsidRPr="00BD7DCC">
        <w:rPr>
          <w:lang w:val="en-US"/>
        </w:rPr>
        <w:t xml:space="preserve"> storage is located near major generation or network assets and is operated for system-wide objectives. Distributed storage is installed at substations, buildings or network branches and can address local constraints or customer demand. The preferred arrangement depends on scale economies, space, heat loss, hydraulic location, ownership, communications and the service required.</w:t>
      </w:r>
    </w:p>
    <w:p w14:paraId="79C2F0CE" w14:textId="1D2425D7" w:rsidR="00BD7DCC" w:rsidRPr="00BD7DCC" w:rsidRDefault="00A24CF4" w:rsidP="00BD7DCC">
      <w:pPr>
        <w:pStyle w:val="Heading1"/>
      </w:pPr>
      <w:r>
        <w:lastRenderedPageBreak/>
        <w:t>C</w:t>
      </w:r>
      <w:r w:rsidR="00BD7DCC" w:rsidRPr="00BD7DCC">
        <w:t xml:space="preserve">ontrol and </w:t>
      </w:r>
      <w:r>
        <w:t>optimization, r</w:t>
      </w:r>
      <w:r w:rsidRPr="00BD7DCC">
        <w:t>eliability</w:t>
      </w:r>
      <w:r>
        <w:t xml:space="preserve"> and</w:t>
      </w:r>
      <w:r w:rsidRPr="00BD7DCC">
        <w:t xml:space="preserve"> resilience</w:t>
      </w:r>
    </w:p>
    <w:p w14:paraId="51279143" w14:textId="77777777" w:rsidR="00BD7DCC" w:rsidRPr="00BD7DCC" w:rsidRDefault="00BD7DCC" w:rsidP="00BD7DCC">
      <w:pPr>
        <w:pStyle w:val="Heading2"/>
      </w:pPr>
      <w:r w:rsidRPr="00BD7DCC">
        <w:t>Smart / dynamic control and model predictive control</w:t>
      </w:r>
    </w:p>
    <w:p w14:paraId="75FC8FD4" w14:textId="77777777" w:rsidR="00BD7DCC" w:rsidRPr="00BD7DCC" w:rsidRDefault="00BD7DCC" w:rsidP="00BD7DCC">
      <w:pPr>
        <w:pStyle w:val="NoSpacing"/>
        <w:rPr>
          <w:lang w:val="en-US"/>
        </w:rPr>
      </w:pPr>
      <w:r w:rsidRPr="00BD7DCC">
        <w:rPr>
          <w:lang w:val="en-US"/>
        </w:rPr>
        <w:t xml:space="preserve">Digital </w:t>
      </w:r>
      <w:proofErr w:type="gramStart"/>
      <w:r w:rsidRPr="00BD7DCC">
        <w:rPr>
          <w:lang w:val="en-US"/>
        </w:rPr>
        <w:t>control that</w:t>
      </w:r>
      <w:proofErr w:type="gramEnd"/>
      <w:r w:rsidRPr="00BD7DCC">
        <w:rPr>
          <w:lang w:val="en-US"/>
        </w:rPr>
        <w:t xml:space="preserve"> coordinates sources, storage, pumps, temperatures and flexible demand using current measurements and forecasts. Model predictive control repeatedly </w:t>
      </w:r>
      <w:proofErr w:type="spellStart"/>
      <w:r w:rsidRPr="00BD7DCC">
        <w:rPr>
          <w:lang w:val="en-US"/>
        </w:rPr>
        <w:t>optimises</w:t>
      </w:r>
      <w:proofErr w:type="spellEnd"/>
      <w:r w:rsidRPr="00BD7DCC">
        <w:rPr>
          <w:lang w:val="en-US"/>
        </w:rPr>
        <w:t xml:space="preserve"> future operation over a moving horizon while respecting constraints. “Smart” should describe demonstrable functions rather than merely remote monitoring or automation.</w:t>
      </w:r>
    </w:p>
    <w:p w14:paraId="7526A5B5" w14:textId="77777777" w:rsidR="00BD7DCC" w:rsidRPr="00BD7DCC" w:rsidRDefault="00BD7DCC" w:rsidP="00BD7DCC">
      <w:pPr>
        <w:pStyle w:val="Heading2"/>
      </w:pPr>
      <w:r w:rsidRPr="00BD7DCC">
        <w:t>Forecasting</w:t>
      </w:r>
    </w:p>
    <w:p w14:paraId="66B00DF5" w14:textId="77777777" w:rsidR="00BD7DCC" w:rsidRPr="00BD7DCC" w:rsidRDefault="00BD7DCC" w:rsidP="00BD7DCC">
      <w:pPr>
        <w:pStyle w:val="NoSpacing"/>
        <w:rPr>
          <w:lang w:val="en-US"/>
        </w:rPr>
      </w:pPr>
      <w:r w:rsidRPr="00BD7DCC">
        <w:rPr>
          <w:lang w:val="en-US"/>
        </w:rPr>
        <w:t>Prediction of heat and cooling demand, renewable and recovered-heat availability, weather, electricity price, carbon signals and equipment constraints over the control horizon. Forecast accuracy and uncertainty influence storage scheduling and source commitment; robust operation should account for forecast error rather than rely on one perfect prediction.</w:t>
      </w:r>
    </w:p>
    <w:p w14:paraId="0B145DED" w14:textId="77777777" w:rsidR="00BD7DCC" w:rsidRPr="00BD7DCC" w:rsidRDefault="00BD7DCC" w:rsidP="00BD7DCC">
      <w:pPr>
        <w:pStyle w:val="Heading2"/>
      </w:pPr>
      <w:r w:rsidRPr="00BD7DCC">
        <w:t>Load shifting</w:t>
      </w:r>
    </w:p>
    <w:p w14:paraId="2764127C" w14:textId="77777777" w:rsidR="00BD7DCC" w:rsidRPr="00BD7DCC" w:rsidRDefault="00BD7DCC" w:rsidP="00BD7DCC">
      <w:pPr>
        <w:pStyle w:val="NoSpacing"/>
        <w:rPr>
          <w:lang w:val="en-US"/>
        </w:rPr>
      </w:pPr>
      <w:r w:rsidRPr="00BD7DCC">
        <w:rPr>
          <w:lang w:val="en-US"/>
        </w:rPr>
        <w:t>Moving thermal production, electrical input or customer demand from one period to another while delivering the required total service. Storage and building inertia enable shifting, but losses and rebound mean the shifted energy may differ from the original load. The direction, duration and system objective should be stated.</w:t>
      </w:r>
    </w:p>
    <w:p w14:paraId="4525DA2A" w14:textId="77777777" w:rsidR="00BD7DCC" w:rsidRPr="00BD7DCC" w:rsidRDefault="00BD7DCC" w:rsidP="00BD7DCC">
      <w:pPr>
        <w:pStyle w:val="Heading2"/>
      </w:pPr>
      <w:r w:rsidRPr="00BD7DCC">
        <w:t>Peak shaving</w:t>
      </w:r>
    </w:p>
    <w:p w14:paraId="582F6329" w14:textId="77777777" w:rsidR="00BD7DCC" w:rsidRPr="00BD7DCC" w:rsidRDefault="00BD7DCC" w:rsidP="00BD7DCC">
      <w:pPr>
        <w:pStyle w:val="NoSpacing"/>
        <w:rPr>
          <w:lang w:val="en-US"/>
        </w:rPr>
      </w:pPr>
      <w:r w:rsidRPr="00BD7DCC">
        <w:rPr>
          <w:lang w:val="en-US"/>
        </w:rPr>
        <w:t>Reducing the maximum thermal demand, generation output, network flow or electrical input over a defined interval by using storage, alternative sources or demand flexibility. The relevant peak and averaging period must be identified because reducing a district-heat peak may increase an electricity-grid peak, and vice versa.</w:t>
      </w:r>
    </w:p>
    <w:p w14:paraId="2CFBF6EF" w14:textId="77777777" w:rsidR="00BD7DCC" w:rsidRPr="00BD7DCC" w:rsidRDefault="00BD7DCC" w:rsidP="00BD7DCC">
      <w:pPr>
        <w:pStyle w:val="Heading2"/>
      </w:pPr>
      <w:r w:rsidRPr="00BD7DCC">
        <w:t xml:space="preserve">Techno-economic </w:t>
      </w:r>
      <w:proofErr w:type="spellStart"/>
      <w:r w:rsidRPr="00BD7DCC">
        <w:t>optimisation</w:t>
      </w:r>
      <w:proofErr w:type="spellEnd"/>
    </w:p>
    <w:p w14:paraId="593CFCE6" w14:textId="77777777" w:rsidR="00BD7DCC" w:rsidRPr="00BD7DCC" w:rsidRDefault="00BD7DCC" w:rsidP="00BD7DCC">
      <w:pPr>
        <w:pStyle w:val="NoSpacing"/>
        <w:rPr>
          <w:lang w:val="en-US"/>
        </w:rPr>
      </w:pPr>
      <w:r w:rsidRPr="00BD7DCC">
        <w:rPr>
          <w:lang w:val="en-US"/>
        </w:rPr>
        <w:t xml:space="preserve">Joint evaluation of technical design and operation with capital cost, operating cost, revenue, maintenance, lifetime, risk and financing. </w:t>
      </w:r>
      <w:proofErr w:type="spellStart"/>
      <w:r w:rsidRPr="00BD7DCC">
        <w:rPr>
          <w:lang w:val="en-US"/>
        </w:rPr>
        <w:t>Optimisation</w:t>
      </w:r>
      <w:proofErr w:type="spellEnd"/>
      <w:r w:rsidRPr="00BD7DCC">
        <w:rPr>
          <w:lang w:val="en-US"/>
        </w:rPr>
        <w:t xml:space="preserve"> should use an explicit system boundary, objective function, constraints, scenarios and discount assumptions. A lowest-cost solution is not automatically the lowest-emission or most resilient solution.</w:t>
      </w:r>
    </w:p>
    <w:p w14:paraId="59740716" w14:textId="77777777" w:rsidR="00BD7DCC" w:rsidRPr="00BD7DCC" w:rsidRDefault="00BD7DCC" w:rsidP="00BD7DCC">
      <w:pPr>
        <w:pStyle w:val="Heading2"/>
      </w:pPr>
      <w:r w:rsidRPr="00BD7DCC">
        <w:t>Performance indicators for flexibility and renewable integration</w:t>
      </w:r>
    </w:p>
    <w:p w14:paraId="5340B28E" w14:textId="77777777" w:rsidR="00BD7DCC" w:rsidRPr="00BD7DCC" w:rsidRDefault="00BD7DCC" w:rsidP="00BD7DCC">
      <w:pPr>
        <w:pStyle w:val="NoSpacing"/>
        <w:rPr>
          <w:lang w:val="en-US"/>
        </w:rPr>
      </w:pPr>
      <w:r w:rsidRPr="00BD7DCC">
        <w:rPr>
          <w:lang w:val="en-US"/>
        </w:rPr>
        <w:t xml:space="preserve">Metrics used to evaluate outcomes, such as renewable share, recovered-heat </w:t>
      </w:r>
      <w:proofErr w:type="spellStart"/>
      <w:r w:rsidRPr="00BD7DCC">
        <w:rPr>
          <w:lang w:val="en-US"/>
        </w:rPr>
        <w:t>utilisation</w:t>
      </w:r>
      <w:proofErr w:type="spellEnd"/>
      <w:r w:rsidRPr="00BD7DCC">
        <w:rPr>
          <w:lang w:val="en-US"/>
        </w:rPr>
        <w:t xml:space="preserve">, renewable curtailment avoided, peak reduction, storage losses, equivalent cycles, flexible energy delivered, activation success, cost savings and emissions change. Each KPI needs a denominator, baseline, </w:t>
      </w:r>
      <w:proofErr w:type="gramStart"/>
      <w:r w:rsidRPr="00BD7DCC">
        <w:rPr>
          <w:lang w:val="en-US"/>
        </w:rPr>
        <w:t>time period</w:t>
      </w:r>
      <w:proofErr w:type="gramEnd"/>
      <w:r w:rsidRPr="00BD7DCC">
        <w:rPr>
          <w:lang w:val="en-US"/>
        </w:rPr>
        <w:t>, boundary and data-quality statement to avoid misleading comparisons.</w:t>
      </w:r>
    </w:p>
    <w:p w14:paraId="766B2898" w14:textId="027F99B7" w:rsidR="00BD7DCC" w:rsidRPr="00BD7DCC" w:rsidRDefault="00BD7DCC" w:rsidP="00A24CF4">
      <w:pPr>
        <w:pStyle w:val="Heading2"/>
      </w:pPr>
      <w:r w:rsidRPr="00BD7DCC">
        <w:t>Reliability and availability</w:t>
      </w:r>
    </w:p>
    <w:p w14:paraId="08014C6D" w14:textId="77777777" w:rsidR="00BD7DCC" w:rsidRPr="00BD7DCC" w:rsidRDefault="00BD7DCC" w:rsidP="00BD7DCC">
      <w:pPr>
        <w:pStyle w:val="NoSpacing"/>
        <w:rPr>
          <w:lang w:val="en-US"/>
        </w:rPr>
      </w:pPr>
      <w:r w:rsidRPr="00BD7DCC">
        <w:rPr>
          <w:lang w:val="en-US"/>
        </w:rPr>
        <w:t>Reliability is the probability or ability of equipment and the network to perform the required function over time; availability is the proportion of time it is capable of service. Flexible assets add operational options but can also introduce dependencies on electricity, communications, wells or third-party heat sources.</w:t>
      </w:r>
    </w:p>
    <w:p w14:paraId="34DDB928" w14:textId="77777777" w:rsidR="00BD7DCC" w:rsidRPr="00BD7DCC" w:rsidRDefault="00BD7DCC" w:rsidP="00BD7DCC">
      <w:pPr>
        <w:pStyle w:val="Heading2"/>
      </w:pPr>
      <w:r w:rsidRPr="00BD7DCC">
        <w:t>Resilience and security of supply</w:t>
      </w:r>
    </w:p>
    <w:p w14:paraId="3914F8EA" w14:textId="77777777" w:rsidR="00BD7DCC" w:rsidRPr="00BD7DCC" w:rsidRDefault="00BD7DCC" w:rsidP="00BD7DCC">
      <w:pPr>
        <w:pStyle w:val="NoSpacing"/>
        <w:rPr>
          <w:lang w:val="en-US"/>
        </w:rPr>
      </w:pPr>
      <w:r w:rsidRPr="00BD7DCC">
        <w:rPr>
          <w:lang w:val="en-US"/>
        </w:rPr>
        <w:t>The ability to anticipate, withstand, adapt to and recover from disturbances while maintaining or restoring essential heating and cooling. Diversified sources, storage, redundancy and demand flexibility can improve resilience, but storage alone does not guarantee security; outage duration, fuel and electricity supply, black-start capability, communications and repair logistics must be considered.</w:t>
      </w:r>
    </w:p>
    <w:p w14:paraId="749E0A7D" w14:textId="77777777" w:rsidR="00BD7DCC" w:rsidRPr="00BD7DCC" w:rsidRDefault="00BD7DCC" w:rsidP="00BD7DCC">
      <w:pPr>
        <w:pStyle w:val="Heading2"/>
      </w:pPr>
      <w:r w:rsidRPr="00BD7DCC">
        <w:t>Redundancy / N-1 criterion</w:t>
      </w:r>
    </w:p>
    <w:p w14:paraId="39EE5B81" w14:textId="42486F58" w:rsidR="00A24CF4" w:rsidRPr="00A24CF4" w:rsidRDefault="00BD7DCC" w:rsidP="00A24CF4">
      <w:pPr>
        <w:pStyle w:val="NoSpacing"/>
        <w:rPr>
          <w:lang w:val="en-US"/>
        </w:rPr>
      </w:pPr>
      <w:r w:rsidRPr="00BD7DCC">
        <w:rPr>
          <w:lang w:val="en-US"/>
        </w:rPr>
        <w:t>Provision of sufficient alternative capacity or configuration so that required service can continue after the loss of one defined component. N-1 is system-specific and may apply to generators, pumps, electrical feeds, wells or network routes. It should be tested against critical load and seasonal conditions rather than assumed from installed capacity alone.</w:t>
      </w:r>
    </w:p>
    <w:sectPr w:rsidR="00A24CF4" w:rsidRPr="00A24CF4" w:rsidSect="00AC3070">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C89DF" w14:textId="77777777" w:rsidR="00762594" w:rsidRDefault="00762594" w:rsidP="00AC3070">
      <w:pPr>
        <w:spacing w:line="240" w:lineRule="auto"/>
      </w:pPr>
      <w:r>
        <w:separator/>
      </w:r>
    </w:p>
  </w:endnote>
  <w:endnote w:type="continuationSeparator" w:id="0">
    <w:p w14:paraId="31D411F7" w14:textId="77777777" w:rsidR="00762594" w:rsidRDefault="00762594" w:rsidP="00AC30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6C12" w14:textId="1DBD53ED" w:rsidR="00AC3070" w:rsidRPr="004B45C1" w:rsidRDefault="00000000" w:rsidP="004B45C1">
    <w:pPr>
      <w:pStyle w:val="Footer"/>
      <w:jc w:val="right"/>
      <w:rPr>
        <w:lang w:val="en-US"/>
      </w:rPr>
    </w:pPr>
    <w:sdt>
      <w:sdtPr>
        <w:id w:val="-662635125"/>
        <w:docPartObj>
          <w:docPartGallery w:val="Page Numbers (Bottom of Page)"/>
          <w:docPartUnique/>
        </w:docPartObj>
      </w:sdtPr>
      <w:sdtContent>
        <w:r w:rsidR="004B45C1">
          <w:fldChar w:fldCharType="begin"/>
        </w:r>
        <w:r w:rsidR="004B45C1">
          <w:instrText>PAGE   \* MERGEFORMAT</w:instrText>
        </w:r>
        <w:r w:rsidR="004B45C1">
          <w:fldChar w:fldCharType="separate"/>
        </w:r>
        <w:r w:rsidR="004B45C1">
          <w:t>1</w:t>
        </w:r>
        <w:r w:rsidR="004B45C1">
          <w:fldChar w:fldCharType="end"/>
        </w:r>
      </w:sdtContent>
    </w:sdt>
    <w:r w:rsidR="004B45C1">
      <w:tab/>
    </w:r>
    <w:proofErr w:type="spellStart"/>
    <w:r w:rsidR="004B45C1">
      <w:rPr>
        <w:lang w:val="en-US"/>
      </w:rPr>
      <w:t>RepowerRegions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774EB" w14:textId="77777777" w:rsidR="00762594" w:rsidRDefault="00762594" w:rsidP="00AC3070">
      <w:pPr>
        <w:spacing w:line="240" w:lineRule="auto"/>
      </w:pPr>
      <w:r>
        <w:separator/>
      </w:r>
    </w:p>
  </w:footnote>
  <w:footnote w:type="continuationSeparator" w:id="0">
    <w:p w14:paraId="50655C02" w14:textId="77777777" w:rsidR="00762594" w:rsidRDefault="00762594" w:rsidP="00AC30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A6B3" w14:textId="06B757FC" w:rsidR="00997DC8" w:rsidRDefault="00AC3070" w:rsidP="00997DC8">
    <w:pPr>
      <w:tabs>
        <w:tab w:val="right" w:pos="9638"/>
      </w:tabs>
      <w:spacing w:line="240" w:lineRule="auto"/>
      <w:jc w:val="left"/>
      <w:rPr>
        <w:rFonts w:eastAsia="Times New Roman" w:cs="Times New Roman"/>
        <w:lang w:val="en-GB" w:eastAsia="lv-LV"/>
      </w:rPr>
    </w:pPr>
    <w:r w:rsidRPr="00997DC8">
      <w:rPr>
        <w:rFonts w:eastAsia="Times New Roman" w:cs="Times New Roman"/>
        <w:lang w:val="en-US" w:eastAsia="lv-LV"/>
      </w:rPr>
      <w:t xml:space="preserve">Module 4. </w:t>
    </w:r>
    <w:r w:rsidRPr="00997DC8">
      <w:rPr>
        <w:lang w:val="en-US" w:eastAsia="lv-LV"/>
      </w:rPr>
      <w:t>Integrating with District ​&amp; Renewable Heat ​</w:t>
    </w:r>
    <w:r w:rsidR="00997DC8" w:rsidRPr="00997DC8">
      <w:rPr>
        <w:rFonts w:eastAsia="Times New Roman" w:cs="Times New Roman"/>
        <w:lang w:val="en-US" w:eastAsia="lv-LV"/>
      </w:rPr>
      <w:t xml:space="preserve"> </w:t>
    </w:r>
    <w:r w:rsidR="00997DC8" w:rsidRPr="00997DC8">
      <w:rPr>
        <w:rFonts w:eastAsia="Times New Roman" w:cs="Times New Roman"/>
        <w:lang w:val="en-US" w:eastAsia="lv-LV"/>
      </w:rPr>
      <w:tab/>
      <w:t>KEY</w:t>
    </w:r>
    <w:r w:rsidR="00006D99">
      <w:rPr>
        <w:rFonts w:eastAsia="Times New Roman" w:cs="Times New Roman"/>
        <w:lang w:val="en-US" w:eastAsia="lv-LV"/>
      </w:rPr>
      <w:t xml:space="preserve"> </w:t>
    </w:r>
    <w:r w:rsidR="00997DC8" w:rsidRPr="00997DC8">
      <w:rPr>
        <w:rFonts w:eastAsia="Times New Roman" w:cs="Times New Roman"/>
        <w:lang w:val="en-US" w:eastAsia="lv-LV"/>
      </w:rPr>
      <w:t>TERMS</w:t>
    </w:r>
    <w:r w:rsidRPr="00997DC8">
      <w:rPr>
        <w:lang w:val="en-US" w:eastAsia="lv-LV"/>
      </w:rPr>
      <w:br/>
    </w:r>
    <w:r w:rsidR="005D2BA3" w:rsidRPr="005D2BA3">
      <w:rPr>
        <w:rFonts w:eastAsia="Times New Roman" w:cs="Times New Roman"/>
        <w:lang w:val="en-GB" w:eastAsia="lv-LV"/>
      </w:rPr>
      <w:t>Unit 4</w:t>
    </w:r>
    <w:r w:rsidR="005D2BA3">
      <w:rPr>
        <w:rFonts w:eastAsia="Times New Roman" w:cs="Times New Roman"/>
        <w:lang w:val="en-GB" w:eastAsia="lv-LV"/>
      </w:rPr>
      <w:t>.</w:t>
    </w:r>
    <w:r w:rsidR="005D2BA3" w:rsidRPr="005D2BA3">
      <w:rPr>
        <w:rFonts w:eastAsia="Times New Roman" w:cs="Times New Roman"/>
        <w:lang w:val="en-GB" w:eastAsia="lv-LV"/>
      </w:rPr>
      <w:t xml:space="preserve"> Flexibility and integration with renewables and thermal storage</w:t>
    </w:r>
  </w:p>
  <w:p w14:paraId="675C3659" w14:textId="77777777" w:rsidR="00997DC8" w:rsidRPr="00997DC8" w:rsidRDefault="00997DC8" w:rsidP="00997DC8">
    <w:pPr>
      <w:tabs>
        <w:tab w:val="right" w:pos="9638"/>
      </w:tabs>
      <w:spacing w:line="240" w:lineRule="auto"/>
      <w:jc w:val="left"/>
      <w:rPr>
        <w:rFonts w:eastAsia="Times New Roman" w:cs="Times New Roman"/>
        <w:lang w:val="en-US"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0020C"/>
    <w:multiLevelType w:val="hybridMultilevel"/>
    <w:tmpl w:val="2E909B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F803040"/>
    <w:multiLevelType w:val="multilevel"/>
    <w:tmpl w:val="864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861C0"/>
    <w:multiLevelType w:val="multilevel"/>
    <w:tmpl w:val="A6D4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95395">
    <w:abstractNumId w:val="2"/>
  </w:num>
  <w:num w:numId="2" w16cid:durableId="1021006593">
    <w:abstractNumId w:val="1"/>
  </w:num>
  <w:num w:numId="3" w16cid:durableId="208406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25"/>
    <w:rsid w:val="00006D99"/>
    <w:rsid w:val="00093D34"/>
    <w:rsid w:val="00095C22"/>
    <w:rsid w:val="001A103A"/>
    <w:rsid w:val="001B13D9"/>
    <w:rsid w:val="0020685D"/>
    <w:rsid w:val="002B495A"/>
    <w:rsid w:val="002F69B6"/>
    <w:rsid w:val="003E3E7D"/>
    <w:rsid w:val="003F67B7"/>
    <w:rsid w:val="004A3AD6"/>
    <w:rsid w:val="004B45C1"/>
    <w:rsid w:val="004D6DA1"/>
    <w:rsid w:val="004E7872"/>
    <w:rsid w:val="005C6436"/>
    <w:rsid w:val="005D2BA3"/>
    <w:rsid w:val="00762594"/>
    <w:rsid w:val="00774F6D"/>
    <w:rsid w:val="0082212F"/>
    <w:rsid w:val="00824825"/>
    <w:rsid w:val="008625A1"/>
    <w:rsid w:val="00896C49"/>
    <w:rsid w:val="00904A53"/>
    <w:rsid w:val="00997DC8"/>
    <w:rsid w:val="009C116A"/>
    <w:rsid w:val="00A24CF4"/>
    <w:rsid w:val="00A35A0F"/>
    <w:rsid w:val="00AB3E34"/>
    <w:rsid w:val="00AC3070"/>
    <w:rsid w:val="00B5782A"/>
    <w:rsid w:val="00BB1315"/>
    <w:rsid w:val="00BD7DCC"/>
    <w:rsid w:val="00C33394"/>
    <w:rsid w:val="00CF51A9"/>
    <w:rsid w:val="00D93BA7"/>
    <w:rsid w:val="00DB39DE"/>
    <w:rsid w:val="00DB4F64"/>
    <w:rsid w:val="00DE75F1"/>
    <w:rsid w:val="00EB6D10"/>
    <w:rsid w:val="00F20775"/>
    <w:rsid w:val="00F241A0"/>
    <w:rsid w:val="00F275E3"/>
    <w:rsid w:val="00F35470"/>
    <w:rsid w:val="00F37C24"/>
    <w:rsid w:val="00F50D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53719"/>
  <w15:chartTrackingRefBased/>
  <w15:docId w15:val="{20F34E66-4CAF-4B8C-BBA7-2FEF3F5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C22"/>
    <w:pPr>
      <w:spacing w:after="0"/>
      <w:jc w:val="both"/>
    </w:pPr>
    <w:rPr>
      <w:rFonts w:ascii="Times New Roman" w:hAnsi="Times New Roman"/>
    </w:rPr>
  </w:style>
  <w:style w:type="paragraph" w:styleId="Heading1">
    <w:name w:val="heading 1"/>
    <w:basedOn w:val="Heading2"/>
    <w:next w:val="Normal"/>
    <w:link w:val="Heading1Char"/>
    <w:uiPriority w:val="9"/>
    <w:qFormat/>
    <w:rsid w:val="00904A53"/>
    <w:pPr>
      <w:jc w:val="center"/>
      <w:outlineLvl w:val="0"/>
    </w:pPr>
    <w:rPr>
      <w:sz w:val="28"/>
    </w:rPr>
  </w:style>
  <w:style w:type="paragraph" w:styleId="Heading2">
    <w:name w:val="heading 2"/>
    <w:basedOn w:val="Normal"/>
    <w:link w:val="Heading2Char"/>
    <w:uiPriority w:val="9"/>
    <w:qFormat/>
    <w:rsid w:val="00904A53"/>
    <w:pPr>
      <w:spacing w:before="240" w:line="240" w:lineRule="auto"/>
      <w:jc w:val="left"/>
      <w:outlineLvl w:val="1"/>
    </w:pPr>
    <w:rPr>
      <w:rFonts w:eastAsia="Times New Roman" w:cs="Times New Roman"/>
      <w:b/>
      <w:bCs/>
      <w:sz w:val="24"/>
      <w:szCs w:val="40"/>
      <w:lang w:val="en-US" w:eastAsia="lv-LV"/>
    </w:rPr>
  </w:style>
  <w:style w:type="paragraph" w:styleId="Heading3">
    <w:name w:val="heading 3"/>
    <w:basedOn w:val="Heading2"/>
    <w:next w:val="Normal"/>
    <w:link w:val="Heading3Char"/>
    <w:uiPriority w:val="9"/>
    <w:unhideWhenUsed/>
    <w:qFormat/>
    <w:rsid w:val="00997DC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4A53"/>
    <w:rPr>
      <w:rFonts w:ascii="Times New Roman" w:eastAsia="Times New Roman" w:hAnsi="Times New Roman" w:cs="Times New Roman"/>
      <w:b/>
      <w:bCs/>
      <w:sz w:val="24"/>
      <w:szCs w:val="40"/>
      <w:lang w:val="en-US" w:eastAsia="lv-LV"/>
    </w:rPr>
  </w:style>
  <w:style w:type="paragraph" w:customStyle="1" w:styleId="font-claude-response-body">
    <w:name w:val="font-claude-response-body"/>
    <w:basedOn w:val="Normal"/>
    <w:rsid w:val="00824825"/>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824825"/>
    <w:rPr>
      <w:b/>
      <w:bCs/>
    </w:rPr>
  </w:style>
  <w:style w:type="paragraph" w:styleId="NormalWeb">
    <w:name w:val="Normal (Web)"/>
    <w:basedOn w:val="Normal"/>
    <w:uiPriority w:val="99"/>
    <w:semiHidden/>
    <w:unhideWhenUsed/>
    <w:rsid w:val="00AC3070"/>
    <w:pPr>
      <w:spacing w:before="100" w:beforeAutospacing="1" w:after="100" w:afterAutospacing="1" w:line="240" w:lineRule="auto"/>
      <w:jc w:val="left"/>
    </w:pPr>
    <w:rPr>
      <w:rFonts w:eastAsia="Times New Roman" w:cs="Times New Roman"/>
      <w:sz w:val="24"/>
      <w:szCs w:val="24"/>
      <w:lang w:val="de-DE" w:eastAsia="de-DE"/>
    </w:rPr>
  </w:style>
  <w:style w:type="paragraph" w:styleId="Header">
    <w:name w:val="header"/>
    <w:basedOn w:val="Normal"/>
    <w:link w:val="HeaderChar"/>
    <w:uiPriority w:val="99"/>
    <w:unhideWhenUsed/>
    <w:rsid w:val="00AC3070"/>
    <w:pPr>
      <w:tabs>
        <w:tab w:val="center" w:pos="4513"/>
        <w:tab w:val="right" w:pos="9026"/>
      </w:tabs>
      <w:spacing w:line="240" w:lineRule="auto"/>
    </w:pPr>
  </w:style>
  <w:style w:type="character" w:customStyle="1" w:styleId="HeaderChar">
    <w:name w:val="Header Char"/>
    <w:basedOn w:val="DefaultParagraphFont"/>
    <w:link w:val="Header"/>
    <w:uiPriority w:val="99"/>
    <w:rsid w:val="00AC3070"/>
    <w:rPr>
      <w:rFonts w:ascii="Times New Roman" w:hAnsi="Times New Roman"/>
    </w:rPr>
  </w:style>
  <w:style w:type="paragraph" w:styleId="Footer">
    <w:name w:val="footer"/>
    <w:basedOn w:val="Normal"/>
    <w:link w:val="FooterChar"/>
    <w:uiPriority w:val="99"/>
    <w:unhideWhenUsed/>
    <w:rsid w:val="00AC3070"/>
    <w:pPr>
      <w:tabs>
        <w:tab w:val="center" w:pos="4513"/>
        <w:tab w:val="right" w:pos="9026"/>
      </w:tabs>
      <w:spacing w:line="240" w:lineRule="auto"/>
    </w:pPr>
  </w:style>
  <w:style w:type="character" w:customStyle="1" w:styleId="FooterChar">
    <w:name w:val="Footer Char"/>
    <w:basedOn w:val="DefaultParagraphFont"/>
    <w:link w:val="Footer"/>
    <w:uiPriority w:val="99"/>
    <w:rsid w:val="00AC3070"/>
    <w:rPr>
      <w:rFonts w:ascii="Times New Roman" w:hAnsi="Times New Roman"/>
    </w:rPr>
  </w:style>
  <w:style w:type="character" w:customStyle="1" w:styleId="Heading3Char">
    <w:name w:val="Heading 3 Char"/>
    <w:basedOn w:val="DefaultParagraphFont"/>
    <w:link w:val="Heading3"/>
    <w:uiPriority w:val="9"/>
    <w:rsid w:val="00997DC8"/>
    <w:rPr>
      <w:rFonts w:ascii="Times New Roman" w:eastAsia="Times New Roman" w:hAnsi="Times New Roman" w:cs="Times New Roman"/>
      <w:b/>
      <w:bCs/>
      <w:sz w:val="24"/>
      <w:szCs w:val="40"/>
      <w:lang w:val="en-US" w:eastAsia="lv-LV"/>
    </w:rPr>
  </w:style>
  <w:style w:type="paragraph" w:customStyle="1" w:styleId="GlossaryDefinition">
    <w:name w:val="Glossary Definition"/>
    <w:rsid w:val="00997DC8"/>
    <w:pPr>
      <w:spacing w:after="60" w:line="276" w:lineRule="auto"/>
    </w:pPr>
    <w:rPr>
      <w:rFonts w:ascii="Arial" w:eastAsia="Arial" w:hAnsi="Arial"/>
      <w:color w:val="202020"/>
      <w:sz w:val="21"/>
      <w:lang w:val="en-US"/>
    </w:rPr>
  </w:style>
  <w:style w:type="character" w:customStyle="1" w:styleId="Heading1Char">
    <w:name w:val="Heading 1 Char"/>
    <w:basedOn w:val="DefaultParagraphFont"/>
    <w:link w:val="Heading1"/>
    <w:uiPriority w:val="9"/>
    <w:rsid w:val="00904A53"/>
    <w:rPr>
      <w:rFonts w:ascii="Times New Roman" w:eastAsia="Times New Roman" w:hAnsi="Times New Roman" w:cs="Times New Roman"/>
      <w:b/>
      <w:bCs/>
      <w:sz w:val="28"/>
      <w:szCs w:val="40"/>
      <w:lang w:val="en-US" w:eastAsia="lv-LV"/>
    </w:rPr>
  </w:style>
  <w:style w:type="paragraph" w:customStyle="1" w:styleId="TermDefinition">
    <w:name w:val="Term Definition"/>
    <w:rsid w:val="00904A53"/>
    <w:pPr>
      <w:spacing w:after="100" w:line="252" w:lineRule="auto"/>
      <w:ind w:left="173"/>
    </w:pPr>
    <w:rPr>
      <w:rFonts w:ascii="Aptos" w:eastAsiaTheme="minorEastAsia" w:hAnsi="Aptos"/>
      <w:sz w:val="20"/>
      <w:lang w:val="en-US"/>
    </w:rPr>
  </w:style>
  <w:style w:type="paragraph" w:styleId="NoSpacing">
    <w:name w:val="No Spacing"/>
    <w:aliases w:val="Text"/>
    <w:uiPriority w:val="1"/>
    <w:qFormat/>
    <w:rsid w:val="002F69B6"/>
    <w:pPr>
      <w:spacing w:after="0" w:line="240" w:lineRule="auto"/>
      <w:ind w:left="113"/>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0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2253C9AEBC71C47A227A4829C21DF97" ma:contentTypeVersion="12" ma:contentTypeDescription="Создание документа." ma:contentTypeScope="" ma:versionID="c08ecda7829650c9ca8e883389edc514">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95b37ab51bf15cb650d477a5fdec67b1"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Теги изображений"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374F70EB-ED0B-4A19-BBAD-315E1688AC99}"/>
</file>

<file path=customXml/itemProps2.xml><?xml version="1.0" encoding="utf-8"?>
<ds:datastoreItem xmlns:ds="http://schemas.openxmlformats.org/officeDocument/2006/customXml" ds:itemID="{0E337275-8469-44DE-B25E-DFF2C0592FAC}"/>
</file>

<file path=customXml/itemProps3.xml><?xml version="1.0" encoding="utf-8"?>
<ds:datastoreItem xmlns:ds="http://schemas.openxmlformats.org/officeDocument/2006/customXml" ds:itemID="{A63F11D7-0571-454F-8703-AB1559B33FD4}"/>
</file>

<file path=docProps/app.xml><?xml version="1.0" encoding="utf-8"?>
<Properties xmlns="http://schemas.openxmlformats.org/officeDocument/2006/extended-properties" xmlns:vt="http://schemas.openxmlformats.org/officeDocument/2006/docPropsVTypes">
  <Template>Normal.dotm</Template>
  <TotalTime>0</TotalTime>
  <Pages>5</Pages>
  <Words>2440</Words>
  <Characters>15377</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Tambovceva</dc:creator>
  <cp:keywords/>
  <dc:description/>
  <cp:lastModifiedBy>Raimonds Bogdanovičs</cp:lastModifiedBy>
  <cp:revision>12</cp:revision>
  <dcterms:created xsi:type="dcterms:W3CDTF">2026-07-24T14:07:00Z</dcterms:created>
  <dcterms:modified xsi:type="dcterms:W3CDTF">2026-07-24T15:57:00Z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