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7C79F" w14:textId="1DF9A743" w:rsidR="00CF51A9" w:rsidRPr="00AB3E34" w:rsidRDefault="0098393A" w:rsidP="0082212F">
      <w:pPr>
        <w:pStyle w:val="Heading1"/>
      </w:pPr>
      <w:r w:rsidRPr="0098393A">
        <w:t>Performance concepts</w:t>
      </w:r>
    </w:p>
    <w:p w14:paraId="4CBD2160" w14:textId="5A5E0862" w:rsidR="00904A53" w:rsidRPr="00AB3E34" w:rsidRDefault="00904A53" w:rsidP="0082212F">
      <w:pPr>
        <w:pStyle w:val="Heading2"/>
      </w:pPr>
      <w:r w:rsidRPr="00AB3E34">
        <w:t xml:space="preserve">Primary supply </w:t>
      </w:r>
      <w:r w:rsidR="00C57A42">
        <w:t xml:space="preserve">and return </w:t>
      </w:r>
      <w:r w:rsidRPr="00AB3E34">
        <w:t>temperature</w:t>
      </w:r>
      <w:r w:rsidR="00C57A42">
        <w:t>s</w:t>
      </w:r>
    </w:p>
    <w:p w14:paraId="218E55A0" w14:textId="04269ADB" w:rsidR="00904A53" w:rsidRPr="00AB3E34" w:rsidRDefault="00904A53" w:rsidP="00C57A42">
      <w:pPr>
        <w:pStyle w:val="NoSpacing"/>
        <w:rPr>
          <w:lang w:val="en-US"/>
        </w:rPr>
      </w:pPr>
      <w:r w:rsidRPr="00AB3E34">
        <w:rPr>
          <w:lang w:val="en-US"/>
        </w:rPr>
        <w:t xml:space="preserve">The temperature of district-network water entering </w:t>
      </w:r>
      <w:r w:rsidR="00C57A42">
        <w:rPr>
          <w:lang w:val="en-US"/>
        </w:rPr>
        <w:t xml:space="preserve">and leaving </w:t>
      </w:r>
      <w:r w:rsidRPr="00AB3E34">
        <w:rPr>
          <w:lang w:val="en-US"/>
        </w:rPr>
        <w:t>the substation or consumer connection. It is a boundary condition for heat-exchanger duty and building-side temperatures</w:t>
      </w:r>
      <w:r w:rsidR="00C57A42">
        <w:rPr>
          <w:lang w:val="en-US"/>
        </w:rPr>
        <w:t xml:space="preserve">. </w:t>
      </w:r>
      <w:r w:rsidRPr="00AB3E34">
        <w:rPr>
          <w:lang w:val="en-US"/>
        </w:rPr>
        <w:t>A low and stable primary return temperature is generally beneficial because it can reduce required network flow and support efficient heat generation</w:t>
      </w:r>
      <w:r w:rsidR="00C57A42">
        <w:rPr>
          <w:lang w:val="en-US"/>
        </w:rPr>
        <w:t xml:space="preserve"> </w:t>
      </w:r>
      <w:r w:rsidRPr="00AB3E34">
        <w:rPr>
          <w:lang w:val="en-US"/>
        </w:rPr>
        <w:t>and low-temperature source integration. It does not, by itself, prove that comfort, duty or control requirements are being met.</w:t>
      </w:r>
    </w:p>
    <w:p w14:paraId="6C77A873" w14:textId="77777777" w:rsidR="00904A53" w:rsidRPr="00AB3E34" w:rsidRDefault="00904A53" w:rsidP="0082212F">
      <w:pPr>
        <w:pStyle w:val="Heading2"/>
      </w:pPr>
      <w:r w:rsidRPr="00AB3E34">
        <w:t>Secondary supply and return temperatures</w:t>
      </w:r>
    </w:p>
    <w:p w14:paraId="45863A80" w14:textId="77777777" w:rsidR="00904A53" w:rsidRPr="00AB3E34" w:rsidRDefault="00904A53" w:rsidP="002F69B6">
      <w:pPr>
        <w:pStyle w:val="NoSpacing"/>
        <w:rPr>
          <w:lang w:val="en-US"/>
        </w:rPr>
      </w:pPr>
      <w:r w:rsidRPr="00AB3E34">
        <w:rPr>
          <w:lang w:val="en-US"/>
        </w:rPr>
        <w:t>The flow and return temperatures in the building-side heating circuit downstream of an indirect heat exchanger. The secondary return temperature places a practical lower limit on the achievable primary return temperature, subject to the heat exchanger approach temperature and operating conditions.</w:t>
      </w:r>
    </w:p>
    <w:p w14:paraId="497F2654" w14:textId="77777777" w:rsidR="00904A53" w:rsidRPr="00AB3E34" w:rsidRDefault="00904A53" w:rsidP="0082212F">
      <w:pPr>
        <w:pStyle w:val="Heading2"/>
      </w:pPr>
      <w:r w:rsidRPr="00AB3E34">
        <w:t>ΔT (temperature difference)</w:t>
      </w:r>
    </w:p>
    <w:p w14:paraId="2DEE3896" w14:textId="77777777" w:rsidR="00904A53" w:rsidRPr="00AB3E34" w:rsidRDefault="00904A53" w:rsidP="002F69B6">
      <w:pPr>
        <w:pStyle w:val="NoSpacing"/>
        <w:rPr>
          <w:lang w:val="en-US"/>
        </w:rPr>
      </w:pPr>
      <w:r w:rsidRPr="00AB3E34">
        <w:rPr>
          <w:lang w:val="en-US"/>
        </w:rPr>
        <w:t>The temperature difference between two stated measurement points. At a district-heating interface, primary ΔT is normally calculated as primary supply temperature minus primary return temperature. The circuit, measurement points, operating mode and averaging period must always be stated.</w:t>
      </w:r>
    </w:p>
    <w:p w14:paraId="26FDA4B1" w14:textId="77777777" w:rsidR="00904A53" w:rsidRPr="00AB3E34" w:rsidRDefault="00904A53" w:rsidP="0082212F">
      <w:pPr>
        <w:pStyle w:val="Heading2"/>
      </w:pPr>
      <w:r w:rsidRPr="00AB3E34">
        <w:t>Design ΔT</w:t>
      </w:r>
    </w:p>
    <w:p w14:paraId="6BA3D7BD" w14:textId="77777777" w:rsidR="00904A53" w:rsidRPr="00AB3E34" w:rsidRDefault="00904A53" w:rsidP="002F69B6">
      <w:pPr>
        <w:pStyle w:val="NoSpacing"/>
        <w:rPr>
          <w:lang w:val="en-US"/>
        </w:rPr>
      </w:pPr>
      <w:r w:rsidRPr="00AB3E34">
        <w:rPr>
          <w:lang w:val="en-US"/>
        </w:rPr>
        <w:t xml:space="preserve">The temperature difference </w:t>
      </w:r>
      <w:proofErr w:type="gramStart"/>
      <w:r w:rsidRPr="00AB3E34">
        <w:rPr>
          <w:lang w:val="en-US"/>
        </w:rPr>
        <w:t>selected</w:t>
      </w:r>
      <w:proofErr w:type="gramEnd"/>
      <w:r w:rsidRPr="00AB3E34">
        <w:rPr>
          <w:lang w:val="en-US"/>
        </w:rPr>
        <w:t xml:space="preserve"> for a defined design duty and set of boundary conditions, such as outdoor design temperature, primary supply temperature and secondary heating regime. Separate design values may be required for space heating, DHW production, standby and part-load operation.</w:t>
      </w:r>
    </w:p>
    <w:p w14:paraId="07986BC5" w14:textId="631FF3E8" w:rsidR="00904A53" w:rsidRPr="00AB3E34" w:rsidRDefault="00C57A42" w:rsidP="0082212F">
      <w:pPr>
        <w:pStyle w:val="Heading2"/>
      </w:pPr>
      <w:r>
        <w:t>A</w:t>
      </w:r>
      <w:r w:rsidR="00904A53" w:rsidRPr="00AB3E34">
        <w:t>ctual ΔT</w:t>
      </w:r>
    </w:p>
    <w:p w14:paraId="7D6B0CA6" w14:textId="77777777" w:rsidR="00904A53" w:rsidRPr="00AB3E34" w:rsidRDefault="00904A53" w:rsidP="002F69B6">
      <w:pPr>
        <w:pStyle w:val="NoSpacing"/>
        <w:rPr>
          <w:lang w:val="en-US"/>
        </w:rPr>
      </w:pPr>
      <w:r w:rsidRPr="00AB3E34">
        <w:rPr>
          <w:lang w:val="en-US"/>
        </w:rPr>
        <w:t xml:space="preserve">The </w:t>
      </w:r>
      <w:proofErr w:type="gramStart"/>
      <w:r w:rsidRPr="00AB3E34">
        <w:rPr>
          <w:lang w:val="en-US"/>
        </w:rPr>
        <w:t>measured temperature difference</w:t>
      </w:r>
      <w:proofErr w:type="gramEnd"/>
      <w:r w:rsidRPr="00AB3E34">
        <w:rPr>
          <w:lang w:val="en-US"/>
        </w:rPr>
        <w:t xml:space="preserve"> during real operation. It varies with load, supply temperature, cold-water temperature, emitter control, flow rate and transients, so a single instantaneous value should not be treated as a complete measure of annual performance.</w:t>
      </w:r>
    </w:p>
    <w:p w14:paraId="0ED14354" w14:textId="77777777" w:rsidR="00904A53" w:rsidRPr="00AB3E34" w:rsidRDefault="00904A53" w:rsidP="0082212F">
      <w:pPr>
        <w:pStyle w:val="Heading2"/>
      </w:pPr>
      <w:r w:rsidRPr="00AB3E34">
        <w:t>Return-temperature target</w:t>
      </w:r>
    </w:p>
    <w:p w14:paraId="0D10AD48" w14:textId="77777777" w:rsidR="00904A53" w:rsidRPr="00AB3E34" w:rsidRDefault="00904A53" w:rsidP="002F69B6">
      <w:pPr>
        <w:pStyle w:val="NoSpacing"/>
        <w:rPr>
          <w:lang w:val="en-US"/>
        </w:rPr>
      </w:pPr>
      <w:r w:rsidRPr="00AB3E34">
        <w:rPr>
          <w:lang w:val="en-US"/>
        </w:rPr>
        <w:t>A specified maximum or expected return temperature for a stated operating condition or reporting period. A target may be fixed, weather-dependent, mode-specific or load-dependent; it should be achievable without compromising heat delivery, hygiene, safety or thermal comfort.</w:t>
      </w:r>
    </w:p>
    <w:p w14:paraId="4B8431D0" w14:textId="77777777" w:rsidR="00904A53" w:rsidRPr="00AB3E34" w:rsidRDefault="00904A53" w:rsidP="0082212F">
      <w:pPr>
        <w:pStyle w:val="Heading2"/>
      </w:pPr>
      <w:r w:rsidRPr="00AB3E34">
        <w:t>Heat-balance equation</w:t>
      </w:r>
    </w:p>
    <w:p w14:paraId="4F1A2ACE" w14:textId="1D91A6E8" w:rsidR="002F69B6" w:rsidRPr="00F61715" w:rsidRDefault="00904A53" w:rsidP="00F61715">
      <w:pPr>
        <w:pStyle w:val="NoSpacing"/>
        <w:rPr>
          <w:lang w:val="en-US"/>
        </w:rPr>
      </w:pPr>
      <w:r w:rsidRPr="00AB3E34">
        <w:rPr>
          <w:lang w:val="en-US"/>
        </w:rPr>
        <w:t>For a single-phase water circuit, the transferred heat rate is approximately Q̇ = ṁ × cp × ΔT, where ṁ is mass flow rate and cp is specific heat capacity. The relationship explains why, for the same heat duty and fluid properties, a smaller ΔT requires a larger flow rate.</w:t>
      </w:r>
    </w:p>
    <w:p w14:paraId="782264CE" w14:textId="787C2EBE" w:rsidR="00904A53" w:rsidRPr="00AB3E34" w:rsidRDefault="00904A53" w:rsidP="0082212F">
      <w:pPr>
        <w:pStyle w:val="Heading2"/>
      </w:pPr>
      <w:r w:rsidRPr="00AB3E34">
        <w:t>Mass flow rate / volume flow rate</w:t>
      </w:r>
    </w:p>
    <w:p w14:paraId="245C82B7" w14:textId="5BDCFBBF" w:rsidR="00F61715" w:rsidRDefault="00904A53" w:rsidP="00C57A42">
      <w:pPr>
        <w:pStyle w:val="NoSpacing"/>
        <w:rPr>
          <w:lang w:val="en-US"/>
        </w:rPr>
      </w:pPr>
      <w:r w:rsidRPr="00AB3E34">
        <w:rPr>
          <w:lang w:val="en-US"/>
        </w:rPr>
        <w:t>The quantity of fluid passing a point per unit time, expressed as mass flow or volumetric flow. Flow must be interpreted together with heat duty and ΔT: high flow is not automatically a fault, but flow above that needed for the delivered duty indicates poor use of hydraulic capacity.</w:t>
      </w:r>
    </w:p>
    <w:p w14:paraId="20C188BA" w14:textId="77777777" w:rsidR="00C57A42" w:rsidRPr="00AB3E34" w:rsidRDefault="00C57A42" w:rsidP="00C57A42">
      <w:pPr>
        <w:pStyle w:val="Heading2"/>
      </w:pPr>
      <w:r w:rsidRPr="00AB3E34">
        <w:t>Low-ΔT syndrome</w:t>
      </w:r>
    </w:p>
    <w:p w14:paraId="3BA71BDD" w14:textId="77777777" w:rsidR="00C57A42" w:rsidRPr="00AB3E34" w:rsidRDefault="00C57A42" w:rsidP="00C57A42">
      <w:pPr>
        <w:pStyle w:val="NoSpacing"/>
        <w:rPr>
          <w:lang w:val="en-US"/>
        </w:rPr>
      </w:pPr>
      <w:r w:rsidRPr="00AB3E34">
        <w:rPr>
          <w:lang w:val="en-US"/>
        </w:rPr>
        <w:t>Persistent operation with a smaller temperature difference, or greater specific volume flow, than intended for the delivered heat. It is commonly associated with elevated return temperature and excess flow, but diagnosis must also consider supply temperature, load, sensor accuracy and whether the design target is applicable to the observed mode.</w:t>
      </w:r>
    </w:p>
    <w:p w14:paraId="0E2446EC" w14:textId="77777777" w:rsidR="00C57A42" w:rsidRPr="00C57A42" w:rsidRDefault="00C57A42" w:rsidP="00C57A42">
      <w:pPr>
        <w:pStyle w:val="NoSpacing"/>
        <w:rPr>
          <w:lang w:val="en-US"/>
        </w:rPr>
      </w:pPr>
    </w:p>
    <w:p w14:paraId="399A4DA5" w14:textId="26239C68" w:rsidR="00904A53" w:rsidRPr="00AB3E34" w:rsidRDefault="00C57A42" w:rsidP="0082212F">
      <w:pPr>
        <w:pStyle w:val="Heading1"/>
      </w:pPr>
      <w:r>
        <w:br w:type="column"/>
      </w:r>
      <w:r w:rsidR="0098393A">
        <w:lastRenderedPageBreak/>
        <w:t xml:space="preserve"> </w:t>
      </w:r>
      <w:r w:rsidR="0098393A" w:rsidRPr="0098393A">
        <w:t>Causes of poor performance</w:t>
      </w:r>
    </w:p>
    <w:p w14:paraId="027AC4E1" w14:textId="77777777" w:rsidR="00904A53" w:rsidRPr="00AB3E34" w:rsidRDefault="00904A53" w:rsidP="0082212F">
      <w:pPr>
        <w:pStyle w:val="Heading2"/>
      </w:pPr>
      <w:r w:rsidRPr="00AB3E34">
        <w:t>Excess primary flow / overflow</w:t>
      </w:r>
    </w:p>
    <w:p w14:paraId="3ADFA4D6" w14:textId="77777777" w:rsidR="00904A53" w:rsidRPr="00AB3E34" w:rsidRDefault="00904A53" w:rsidP="002F69B6">
      <w:pPr>
        <w:pStyle w:val="NoSpacing"/>
        <w:rPr>
          <w:lang w:val="en-US"/>
        </w:rPr>
      </w:pPr>
      <w:r w:rsidRPr="00AB3E34">
        <w:rPr>
          <w:lang w:val="en-US"/>
        </w:rPr>
        <w:t>Primary flow greater than that required to meet the actual heat duty at the intended temperature difference. It may result from oversized or poorly controlled valves, excessive differential pressure, constant-flow operation, bypasses or incorrect flow limits, and it consumes network and pumping capacity.</w:t>
      </w:r>
    </w:p>
    <w:p w14:paraId="08782F36" w14:textId="77777777" w:rsidR="00C145E4" w:rsidRPr="00AB3E34" w:rsidRDefault="00C145E4" w:rsidP="00C145E4">
      <w:pPr>
        <w:pStyle w:val="Heading2"/>
      </w:pPr>
      <w:r w:rsidRPr="00AB3E34">
        <w:t>Differential-pressure variation</w:t>
      </w:r>
    </w:p>
    <w:p w14:paraId="7433F62E" w14:textId="6071D3C4" w:rsidR="00C145E4" w:rsidRPr="00C145E4" w:rsidRDefault="00C145E4" w:rsidP="00C145E4">
      <w:pPr>
        <w:pStyle w:val="NoSpacing"/>
        <w:rPr>
          <w:lang w:val="en-US"/>
        </w:rPr>
      </w:pPr>
      <w:r w:rsidRPr="00AB3E34">
        <w:rPr>
          <w:lang w:val="en-US"/>
        </w:rPr>
        <w:t>Changes in the pressure difference available across the consumer connection as pumps and other customers modulate. Without suitable pressure control, these variations change valve flow for the same opening position and can cause overflow, noise, hunting or insufficient duty.</w:t>
      </w:r>
    </w:p>
    <w:p w14:paraId="30C368F5" w14:textId="60032875" w:rsidR="00904A53" w:rsidRPr="00AB3E34" w:rsidRDefault="00904A53" w:rsidP="0082212F">
      <w:pPr>
        <w:pStyle w:val="Heading2"/>
      </w:pPr>
      <w:r w:rsidRPr="00AB3E34">
        <w:t>Control-valve sizing and valve authority</w:t>
      </w:r>
    </w:p>
    <w:p w14:paraId="539E46DC" w14:textId="77777777" w:rsidR="00904A53" w:rsidRPr="00AB3E34" w:rsidRDefault="00904A53" w:rsidP="002F69B6">
      <w:pPr>
        <w:pStyle w:val="NoSpacing"/>
        <w:rPr>
          <w:lang w:val="en-US"/>
        </w:rPr>
      </w:pPr>
      <w:r w:rsidRPr="00AB3E34">
        <w:rPr>
          <w:lang w:val="en-US"/>
        </w:rPr>
        <w:t>Control-valve sizing determines the flow coefficient available at the design duty. Valve authority expresses the valve pressure drop relative to the pressure drop of the controlled circuit. An oversized valve or low authority can produce coarse, pressure-sensitive modulation and excess flow; the heat exchanger itself being oversized is not normally a root cause of high return temperature.</w:t>
      </w:r>
    </w:p>
    <w:p w14:paraId="7A11472D" w14:textId="77777777" w:rsidR="00904A53" w:rsidRPr="00AB3E34" w:rsidRDefault="00904A53" w:rsidP="0082212F">
      <w:pPr>
        <w:pStyle w:val="Heading2"/>
      </w:pPr>
      <w:r w:rsidRPr="00AB3E34">
        <w:t>Control hunting / oscillation</w:t>
      </w:r>
    </w:p>
    <w:p w14:paraId="03E480B6" w14:textId="77777777" w:rsidR="00904A53" w:rsidRPr="00AB3E34" w:rsidRDefault="00904A53" w:rsidP="002F69B6">
      <w:pPr>
        <w:pStyle w:val="NoSpacing"/>
        <w:rPr>
          <w:lang w:val="en-US"/>
        </w:rPr>
      </w:pPr>
      <w:r w:rsidRPr="00AB3E34">
        <w:rPr>
          <w:lang w:val="en-US"/>
        </w:rPr>
        <w:t>Repeated opening and closing or unstable modulation around a setpoint. Hunting can be caused by excessive controller gain, poor sensor response, valve stiction, low valve authority, unsuitable actuator speed, delays or excessive differential pressure, and can produce alternating flow and return-temperature peaks.</w:t>
      </w:r>
    </w:p>
    <w:p w14:paraId="3F46D8F3" w14:textId="77777777" w:rsidR="00904A53" w:rsidRPr="00AB3E34" w:rsidRDefault="00904A53" w:rsidP="0082212F">
      <w:pPr>
        <w:pStyle w:val="Heading2"/>
      </w:pPr>
      <w:r w:rsidRPr="00AB3E34">
        <w:t>Bypass flow / hydraulic short-circuiting</w:t>
      </w:r>
    </w:p>
    <w:p w14:paraId="1BFDB7B3" w14:textId="77777777" w:rsidR="00904A53" w:rsidRPr="00AB3E34" w:rsidRDefault="00904A53" w:rsidP="002F69B6">
      <w:pPr>
        <w:pStyle w:val="NoSpacing"/>
        <w:rPr>
          <w:lang w:val="en-US"/>
        </w:rPr>
      </w:pPr>
      <w:r w:rsidRPr="00AB3E34">
        <w:rPr>
          <w:lang w:val="en-US"/>
        </w:rPr>
        <w:t>Flow that moves from supply to return without delivering the intended useful heat, for example through an open bypass, incorrectly arranged three-way valve, leaking connection or uncontrolled keep-warm path. The effect is usually high return temperature, low ΔT and wasted pumping capacity.</w:t>
      </w:r>
    </w:p>
    <w:p w14:paraId="6F7D0433" w14:textId="61FA309E" w:rsidR="00904A53" w:rsidRPr="00AB3E34" w:rsidRDefault="00C145E4" w:rsidP="0082212F">
      <w:pPr>
        <w:pStyle w:val="Heading2"/>
      </w:pPr>
      <w:r w:rsidRPr="00AB3E34">
        <w:t xml:space="preserve">Excessive secondary flow </w:t>
      </w:r>
      <w:r>
        <w:t>and h</w:t>
      </w:r>
      <w:r w:rsidR="00904A53" w:rsidRPr="00AB3E34">
        <w:t>ydraulic imbalance</w:t>
      </w:r>
    </w:p>
    <w:p w14:paraId="6CDF1228" w14:textId="5627F8F6" w:rsidR="00904A53" w:rsidRPr="00AB3E34" w:rsidRDefault="00904A53" w:rsidP="002F69B6">
      <w:pPr>
        <w:pStyle w:val="NoSpacing"/>
        <w:rPr>
          <w:lang w:val="en-US"/>
        </w:rPr>
      </w:pPr>
      <w:r w:rsidRPr="00AB3E34">
        <w:rPr>
          <w:lang w:val="en-US"/>
        </w:rPr>
        <w:t>Building-side flow greater than required for the emitted heat. It raises secondary return temperature and, in an indirect connection, usually raises the lowest achievable primary return temperature. Causes include excessive pump head, open balancing valves, inappropriate bypasses and poorly preset emitters.</w:t>
      </w:r>
    </w:p>
    <w:p w14:paraId="44C88D14" w14:textId="77777777" w:rsidR="00904A53" w:rsidRPr="00AB3E34" w:rsidRDefault="00904A53" w:rsidP="0082212F">
      <w:pPr>
        <w:pStyle w:val="Heading2"/>
      </w:pPr>
      <w:r w:rsidRPr="00AB3E34">
        <w:t>Emitter capacity and sizing</w:t>
      </w:r>
    </w:p>
    <w:p w14:paraId="5CD91E8B" w14:textId="77777777" w:rsidR="00904A53" w:rsidRPr="00AB3E34" w:rsidRDefault="00904A53" w:rsidP="002F69B6">
      <w:pPr>
        <w:pStyle w:val="NoSpacing"/>
        <w:rPr>
          <w:lang w:val="en-US"/>
        </w:rPr>
      </w:pPr>
      <w:r w:rsidRPr="00AB3E34">
        <w:rPr>
          <w:lang w:val="en-US"/>
        </w:rPr>
        <w:t>The ability of radiators, convectors or underfloor systems to deliver the required heat at stated flow, return and room temperatures. Larger or appropriately oversized emitters generally enable lower operating temperatures; high return temperature is more commonly linked to excessive flow, poor balancing, unsuitable controls or insufficient emitter capacity that forces high temperature operation.</w:t>
      </w:r>
    </w:p>
    <w:p w14:paraId="10759204" w14:textId="77777777" w:rsidR="00904A53" w:rsidRPr="00AB3E34" w:rsidRDefault="00904A53" w:rsidP="0082212F">
      <w:pPr>
        <w:pStyle w:val="Heading2"/>
      </w:pPr>
      <w:r w:rsidRPr="00AB3E34">
        <w:t>Incorrect heating curve, setpoint or schedule</w:t>
      </w:r>
    </w:p>
    <w:p w14:paraId="096F5CED" w14:textId="77777777" w:rsidR="00904A53" w:rsidRPr="00AB3E34" w:rsidRDefault="00904A53" w:rsidP="002F69B6">
      <w:pPr>
        <w:pStyle w:val="NoSpacing"/>
        <w:rPr>
          <w:lang w:val="en-US"/>
        </w:rPr>
      </w:pPr>
      <w:r w:rsidRPr="00AB3E34">
        <w:rPr>
          <w:lang w:val="en-US"/>
        </w:rPr>
        <w:t xml:space="preserve">A secondary supply-temperature curve or setpoint that is higher than needed can increase secondary and primary return temperatures. A setpoint that is too low can cause valves to remain fully open, high flow and failure to meet comfort, so </w:t>
      </w:r>
      <w:proofErr w:type="spellStart"/>
      <w:r w:rsidRPr="00AB3E34">
        <w:rPr>
          <w:lang w:val="en-US"/>
        </w:rPr>
        <w:t>optimisation</w:t>
      </w:r>
      <w:proofErr w:type="spellEnd"/>
      <w:r w:rsidRPr="00AB3E34">
        <w:rPr>
          <w:lang w:val="en-US"/>
        </w:rPr>
        <w:t xml:space="preserve"> must be based on both indoor conditions and interface performance.</w:t>
      </w:r>
    </w:p>
    <w:p w14:paraId="104CAFCA" w14:textId="77777777" w:rsidR="00904A53" w:rsidRPr="00AB3E34" w:rsidRDefault="00904A53" w:rsidP="0082212F">
      <w:pPr>
        <w:pStyle w:val="Heading2"/>
      </w:pPr>
      <w:r w:rsidRPr="00AB3E34">
        <w:t>DHW circulation, keep-warm and standby influence</w:t>
      </w:r>
    </w:p>
    <w:p w14:paraId="69009AFE" w14:textId="77777777" w:rsidR="00904A53" w:rsidRPr="00AB3E34" w:rsidRDefault="00904A53" w:rsidP="002F69B6">
      <w:pPr>
        <w:pStyle w:val="NoSpacing"/>
        <w:rPr>
          <w:lang w:val="en-US"/>
        </w:rPr>
      </w:pPr>
      <w:r w:rsidRPr="00AB3E34">
        <w:rPr>
          <w:lang w:val="en-US"/>
        </w:rPr>
        <w:t>DHW recirculation and HIU keep-warm functions maintain readiness but can create continuous low-load primary flow and elevated standby return temperature. Their impact depends on pipe losses, control logic, setpoints, valve leakage and whether heat is transferred usefully during standby.</w:t>
      </w:r>
    </w:p>
    <w:p w14:paraId="5746EE78" w14:textId="77777777" w:rsidR="00904A53" w:rsidRPr="00AB3E34" w:rsidRDefault="00904A53" w:rsidP="0082212F">
      <w:pPr>
        <w:pStyle w:val="Heading2"/>
      </w:pPr>
      <w:r w:rsidRPr="00AB3E34">
        <w:t>Sensor error and sensor placement</w:t>
      </w:r>
    </w:p>
    <w:p w14:paraId="57375685" w14:textId="77777777" w:rsidR="00904A53" w:rsidRPr="00AB3E34" w:rsidRDefault="00904A53" w:rsidP="002F69B6">
      <w:pPr>
        <w:pStyle w:val="NoSpacing"/>
        <w:rPr>
          <w:lang w:val="en-US"/>
        </w:rPr>
      </w:pPr>
      <w:r w:rsidRPr="00AB3E34">
        <w:rPr>
          <w:lang w:val="en-US"/>
        </w:rPr>
        <w:t>Bias, poor immersion, slow response, unmatched sensors, incorrect wiring or unsuitable locations can distort calculated ΔT and control decisions. Sensors should measure representative, well-mixed fluid temperatures and be checked against the required accuracy and response time.</w:t>
      </w:r>
    </w:p>
    <w:p w14:paraId="00FF1FDC" w14:textId="62020BFC" w:rsidR="00904A53" w:rsidRPr="00AB3E34" w:rsidRDefault="00904A53" w:rsidP="0082212F">
      <w:pPr>
        <w:pStyle w:val="Heading1"/>
      </w:pPr>
      <w:r w:rsidRPr="00AB3E34">
        <w:lastRenderedPageBreak/>
        <w:t xml:space="preserve">Control and </w:t>
      </w:r>
      <w:r w:rsidR="00C145E4" w:rsidRPr="00AB3E34">
        <w:t>optimization</w:t>
      </w:r>
      <w:r w:rsidRPr="00AB3E34">
        <w:t xml:space="preserve"> methods</w:t>
      </w:r>
    </w:p>
    <w:p w14:paraId="5675F1D8" w14:textId="77777777" w:rsidR="00904A53" w:rsidRPr="00AB3E34" w:rsidRDefault="00904A53" w:rsidP="0082212F">
      <w:pPr>
        <w:pStyle w:val="Heading2"/>
      </w:pPr>
      <w:r w:rsidRPr="00AB3E34">
        <w:t>Weather compensation / heating curve</w:t>
      </w:r>
    </w:p>
    <w:p w14:paraId="05CBCAC8" w14:textId="77777777" w:rsidR="00904A53" w:rsidRPr="00AB3E34" w:rsidRDefault="00904A53" w:rsidP="002F69B6">
      <w:pPr>
        <w:pStyle w:val="NoSpacing"/>
        <w:rPr>
          <w:lang w:val="en-US"/>
        </w:rPr>
      </w:pPr>
      <w:r w:rsidRPr="00AB3E34">
        <w:rPr>
          <w:lang w:val="en-US"/>
        </w:rPr>
        <w:t>A control strategy that resets the secondary supply-temperature setpoint according to outdoor temperature. Correct tuning reduces unnecessarily high temperatures at mild conditions and can lower return temperature, but it must be coordinated with emitter sizing, flow control, occupancy and comfort.</w:t>
      </w:r>
    </w:p>
    <w:p w14:paraId="762F1B64" w14:textId="77777777" w:rsidR="00904A53" w:rsidRPr="00AB3E34" w:rsidRDefault="00904A53" w:rsidP="0082212F">
      <w:pPr>
        <w:pStyle w:val="Heading2"/>
      </w:pPr>
      <w:r w:rsidRPr="00AB3E34">
        <w:t>Load-based variable-flow control</w:t>
      </w:r>
    </w:p>
    <w:p w14:paraId="083AC923" w14:textId="77777777" w:rsidR="00904A53" w:rsidRPr="00AB3E34" w:rsidRDefault="00904A53" w:rsidP="002F69B6">
      <w:pPr>
        <w:pStyle w:val="NoSpacing"/>
        <w:rPr>
          <w:lang w:val="en-US"/>
        </w:rPr>
      </w:pPr>
      <w:r w:rsidRPr="00AB3E34">
        <w:rPr>
          <w:lang w:val="en-US"/>
        </w:rPr>
        <w:t>Modulation of flow in response to actual heat demand rather than maintaining constant design flow. It supports low specific volume flow at part load, provided valves, sensors and pumps have sufficient range and stability.</w:t>
      </w:r>
    </w:p>
    <w:p w14:paraId="5242F64A" w14:textId="77777777" w:rsidR="00904A53" w:rsidRPr="00AB3E34" w:rsidRDefault="00904A53" w:rsidP="0082212F">
      <w:pPr>
        <w:pStyle w:val="Heading2"/>
      </w:pPr>
      <w:r w:rsidRPr="00AB3E34">
        <w:t>Differential-pressure control / pressure-independent control</w:t>
      </w:r>
    </w:p>
    <w:p w14:paraId="6DEF6606" w14:textId="77777777" w:rsidR="00904A53" w:rsidRPr="00AB3E34" w:rsidRDefault="00904A53" w:rsidP="002F69B6">
      <w:pPr>
        <w:pStyle w:val="NoSpacing"/>
        <w:rPr>
          <w:lang w:val="en-US"/>
        </w:rPr>
      </w:pPr>
      <w:r w:rsidRPr="00AB3E34">
        <w:rPr>
          <w:lang w:val="en-US"/>
        </w:rPr>
        <w:t xml:space="preserve">Differential-pressure controllers and pressure-independent control valves </w:t>
      </w:r>
      <w:proofErr w:type="spellStart"/>
      <w:r w:rsidRPr="00AB3E34">
        <w:rPr>
          <w:lang w:val="en-US"/>
        </w:rPr>
        <w:t>stabilise</w:t>
      </w:r>
      <w:proofErr w:type="spellEnd"/>
      <w:r w:rsidRPr="00AB3E34">
        <w:rPr>
          <w:lang w:val="en-US"/>
        </w:rPr>
        <w:t xml:space="preserve"> the pressure available to control valves or combine pressure regulation with flow control. They improve repeatability and valve authority but do not independently guarantee low return temperature; setpoints and maximum flows still require commissioning.</w:t>
      </w:r>
    </w:p>
    <w:p w14:paraId="1429D8A9" w14:textId="77777777" w:rsidR="00904A53" w:rsidRPr="00AB3E34" w:rsidRDefault="00904A53" w:rsidP="0082212F">
      <w:pPr>
        <w:pStyle w:val="Heading2"/>
      </w:pPr>
      <w:r w:rsidRPr="00AB3E34">
        <w:t>Maximum-flow limitation</w:t>
      </w:r>
    </w:p>
    <w:p w14:paraId="24699533" w14:textId="77777777" w:rsidR="00904A53" w:rsidRPr="00AB3E34" w:rsidRDefault="00904A53" w:rsidP="002F69B6">
      <w:pPr>
        <w:pStyle w:val="NoSpacing"/>
        <w:rPr>
          <w:lang w:val="en-US"/>
        </w:rPr>
      </w:pPr>
      <w:r w:rsidRPr="00AB3E34">
        <w:rPr>
          <w:lang w:val="en-US"/>
        </w:rPr>
        <w:t>A physical or software limit on primary flow. It protects network capacity and can discourage overflow, but it must be high enough to meet verified peak duty and should not be used as a substitute for correct valve sizing, balancing or temperature control.</w:t>
      </w:r>
    </w:p>
    <w:p w14:paraId="018D9C26" w14:textId="77777777" w:rsidR="00904A53" w:rsidRPr="00AB3E34" w:rsidRDefault="00904A53" w:rsidP="0082212F">
      <w:pPr>
        <w:pStyle w:val="Heading2"/>
      </w:pPr>
      <w:r w:rsidRPr="00AB3E34">
        <w:t>Return-temperature limiting control</w:t>
      </w:r>
    </w:p>
    <w:p w14:paraId="41ABC473" w14:textId="0C0F5D8E" w:rsidR="002F69B6" w:rsidRPr="00F61715" w:rsidRDefault="00904A53" w:rsidP="00F61715">
      <w:pPr>
        <w:pStyle w:val="NoSpacing"/>
        <w:rPr>
          <w:lang w:val="en-US"/>
        </w:rPr>
      </w:pPr>
      <w:r w:rsidRPr="00AB3E34">
        <w:rPr>
          <w:lang w:val="en-US"/>
        </w:rPr>
        <w:t>A valve or control function that reduces flow when measured return temperature exceeds a set limit. It can improve cooling of network water, but aggressive or poorly selected limits can reduce heat delivery, cause comfort problems or interact badly with other controls.</w:t>
      </w:r>
    </w:p>
    <w:p w14:paraId="53FD4A61" w14:textId="0DE913DD" w:rsidR="00904A53" w:rsidRPr="00AB3E34" w:rsidRDefault="00904A53" w:rsidP="0082212F">
      <w:pPr>
        <w:pStyle w:val="Heading2"/>
      </w:pPr>
      <w:r w:rsidRPr="00AB3E34">
        <w:t>Pump curve matching / variable-speed pumping</w:t>
      </w:r>
    </w:p>
    <w:p w14:paraId="371B5B38" w14:textId="77777777" w:rsidR="00904A53" w:rsidRPr="00AB3E34" w:rsidRDefault="00904A53" w:rsidP="002F69B6">
      <w:pPr>
        <w:pStyle w:val="NoSpacing"/>
        <w:rPr>
          <w:lang w:val="en-US"/>
        </w:rPr>
      </w:pPr>
      <w:r w:rsidRPr="00AB3E34">
        <w:rPr>
          <w:lang w:val="en-US"/>
        </w:rPr>
        <w:t xml:space="preserve">Selection and control of pumps so that delivered head and flow follow the actual system requirement. Excess head can drive overflow and noise, while insufficient head can starve circuits; variable-speed control should therefore use </w:t>
      </w:r>
      <w:proofErr w:type="gramStart"/>
      <w:r w:rsidRPr="00AB3E34">
        <w:rPr>
          <w:lang w:val="en-US"/>
        </w:rPr>
        <w:t>an appropriate</w:t>
      </w:r>
      <w:proofErr w:type="gramEnd"/>
      <w:r w:rsidRPr="00AB3E34">
        <w:rPr>
          <w:lang w:val="en-US"/>
        </w:rPr>
        <w:t xml:space="preserve"> differential-pressure reference and minimum operating limits.</w:t>
      </w:r>
    </w:p>
    <w:p w14:paraId="2F874BC3" w14:textId="77777777" w:rsidR="00904A53" w:rsidRPr="00AB3E34" w:rsidRDefault="00904A53" w:rsidP="0082212F">
      <w:pPr>
        <w:pStyle w:val="Heading2"/>
      </w:pPr>
      <w:r w:rsidRPr="00AB3E34">
        <w:t>Emitter balancing and valve presetting</w:t>
      </w:r>
    </w:p>
    <w:p w14:paraId="74723833" w14:textId="77777777" w:rsidR="00904A53" w:rsidRPr="00AB3E34" w:rsidRDefault="00904A53" w:rsidP="002F69B6">
      <w:pPr>
        <w:pStyle w:val="NoSpacing"/>
        <w:rPr>
          <w:lang w:val="en-US"/>
        </w:rPr>
      </w:pPr>
      <w:r w:rsidRPr="00AB3E34">
        <w:rPr>
          <w:lang w:val="en-US"/>
        </w:rPr>
        <w:t xml:space="preserve">Adjustment of branch, </w:t>
      </w:r>
      <w:proofErr w:type="spellStart"/>
      <w:r w:rsidRPr="00AB3E34">
        <w:rPr>
          <w:lang w:val="en-US"/>
        </w:rPr>
        <w:t>lockshield</w:t>
      </w:r>
      <w:proofErr w:type="spellEnd"/>
      <w:r w:rsidRPr="00AB3E34">
        <w:rPr>
          <w:lang w:val="en-US"/>
        </w:rPr>
        <w:t>, balancing or pressure-independent radiator valves so each emitter receives the design or required flow. Good balancing prevents nearby circuits from over-flowing and helps the building-side return temperature approach its design value.</w:t>
      </w:r>
    </w:p>
    <w:p w14:paraId="5CE2FDDA" w14:textId="77777777" w:rsidR="00904A53" w:rsidRPr="00AB3E34" w:rsidRDefault="00904A53" w:rsidP="0082212F">
      <w:pPr>
        <w:pStyle w:val="Heading2"/>
      </w:pPr>
      <w:r w:rsidRPr="00AB3E34">
        <w:t>DHW priority and mode-transition control</w:t>
      </w:r>
    </w:p>
    <w:p w14:paraId="0B3181D2" w14:textId="77777777" w:rsidR="00904A53" w:rsidRPr="00AB3E34" w:rsidRDefault="00904A53" w:rsidP="002F69B6">
      <w:pPr>
        <w:pStyle w:val="NoSpacing"/>
        <w:rPr>
          <w:lang w:val="en-US"/>
        </w:rPr>
      </w:pPr>
      <w:r w:rsidRPr="00AB3E34">
        <w:rPr>
          <w:lang w:val="en-US"/>
        </w:rPr>
        <w:t xml:space="preserve">Control logic that temporarily gives DHW production precedence over space heating and manages the transition between operating modes. Priority can preserve DHW service, but valve sequencing, pump response and post-draw </w:t>
      </w:r>
      <w:proofErr w:type="spellStart"/>
      <w:r w:rsidRPr="00AB3E34">
        <w:rPr>
          <w:lang w:val="en-US"/>
        </w:rPr>
        <w:t>behaviour</w:t>
      </w:r>
      <w:proofErr w:type="spellEnd"/>
      <w:r w:rsidRPr="00AB3E34">
        <w:rPr>
          <w:lang w:val="en-US"/>
        </w:rPr>
        <w:t xml:space="preserve"> must be tuned to avoid excessive primary flow or warm standby returns.</w:t>
      </w:r>
    </w:p>
    <w:p w14:paraId="054DFECE" w14:textId="77777777" w:rsidR="00904A53" w:rsidRPr="00AB3E34" w:rsidRDefault="00904A53" w:rsidP="0082212F">
      <w:pPr>
        <w:pStyle w:val="Heading2"/>
      </w:pPr>
      <w:r w:rsidRPr="00AB3E34">
        <w:t>Low-flow operating strategy</w:t>
      </w:r>
    </w:p>
    <w:p w14:paraId="1C34CA14" w14:textId="77777777" w:rsidR="00904A53" w:rsidRPr="00AB3E34" w:rsidRDefault="00904A53" w:rsidP="002F69B6">
      <w:pPr>
        <w:pStyle w:val="NoSpacing"/>
        <w:rPr>
          <w:lang w:val="en-US"/>
        </w:rPr>
      </w:pPr>
      <w:r w:rsidRPr="00AB3E34">
        <w:rPr>
          <w:lang w:val="en-US"/>
        </w:rPr>
        <w:t>An operating approach that uses only the flow needed to meet load while maintaining the required temperatures and comfort. It is not a fixed minimum-flow rule: the optimum flow changes with load, emitter characteristics and supply temperature.</w:t>
      </w:r>
    </w:p>
    <w:p w14:paraId="43806EA3" w14:textId="77777777" w:rsidR="00904A53" w:rsidRPr="00AB3E34" w:rsidRDefault="00904A53" w:rsidP="0082212F">
      <w:pPr>
        <w:pStyle w:val="Heading2"/>
      </w:pPr>
      <w:r w:rsidRPr="00AB3E34">
        <w:t>Commissioning, seasonal tuning and recommissioning</w:t>
      </w:r>
    </w:p>
    <w:p w14:paraId="31213FE7" w14:textId="77777777" w:rsidR="00904A53" w:rsidRPr="00AB3E34" w:rsidRDefault="00904A53" w:rsidP="002F69B6">
      <w:pPr>
        <w:pStyle w:val="NoSpacing"/>
        <w:rPr>
          <w:lang w:val="en-US"/>
        </w:rPr>
      </w:pPr>
      <w:r w:rsidRPr="00AB3E34">
        <w:rPr>
          <w:lang w:val="en-US"/>
        </w:rPr>
        <w:t xml:space="preserve">The process of measuring, adjusting and verifying flow limits, differential pressure, heating curves, valve </w:t>
      </w:r>
      <w:proofErr w:type="spellStart"/>
      <w:r w:rsidRPr="00AB3E34">
        <w:rPr>
          <w:lang w:val="en-US"/>
        </w:rPr>
        <w:t>behaviour</w:t>
      </w:r>
      <w:proofErr w:type="spellEnd"/>
      <w:r w:rsidRPr="00AB3E34">
        <w:rPr>
          <w:lang w:val="en-US"/>
        </w:rPr>
        <w:t xml:space="preserve">, pump settings and return temperatures. Because many faults appear only at part load, cold weather, DHW peaks or standby, </w:t>
      </w:r>
      <w:proofErr w:type="spellStart"/>
      <w:r w:rsidRPr="00AB3E34">
        <w:rPr>
          <w:lang w:val="en-US"/>
        </w:rPr>
        <w:t>optimisation</w:t>
      </w:r>
      <w:proofErr w:type="spellEnd"/>
      <w:r w:rsidRPr="00AB3E34">
        <w:rPr>
          <w:lang w:val="en-US"/>
        </w:rPr>
        <w:t xml:space="preserve"> should include seasonal follow-up rather than a single design-point test.</w:t>
      </w:r>
    </w:p>
    <w:p w14:paraId="639D4ED7" w14:textId="0392A754" w:rsidR="00904A53" w:rsidRPr="00AB3E34" w:rsidRDefault="00C145E4" w:rsidP="00904A53">
      <w:pPr>
        <w:pStyle w:val="Heading1"/>
      </w:pPr>
      <w:r>
        <w:br w:type="column"/>
      </w:r>
      <w:r w:rsidR="00904A53" w:rsidRPr="00AB3E34">
        <w:lastRenderedPageBreak/>
        <w:t>Monitoring, KPIs and wider system effects</w:t>
      </w:r>
    </w:p>
    <w:p w14:paraId="24E68AB7" w14:textId="77777777" w:rsidR="00904A53" w:rsidRPr="00AB3E34" w:rsidRDefault="00904A53" w:rsidP="00904A53">
      <w:pPr>
        <w:pStyle w:val="Heading2"/>
      </w:pPr>
      <w:r w:rsidRPr="00AB3E34">
        <w:t>Continuous performance monitoring</w:t>
      </w:r>
    </w:p>
    <w:p w14:paraId="3B644494" w14:textId="77777777" w:rsidR="00904A53" w:rsidRPr="00AB3E34" w:rsidRDefault="00904A53" w:rsidP="002F69B6">
      <w:pPr>
        <w:pStyle w:val="NoSpacing"/>
        <w:rPr>
          <w:lang w:val="en-US"/>
        </w:rPr>
      </w:pPr>
      <w:r w:rsidRPr="00AB3E34">
        <w:rPr>
          <w:lang w:val="en-US"/>
        </w:rPr>
        <w:t xml:space="preserve">Collection and review of temperatures, flow, heat, differential pressure, valve position, pump status and operating mode over time. Monitoring should use sufficient time resolution to capture DHW draws, control transients and standby </w:t>
      </w:r>
      <w:proofErr w:type="spellStart"/>
      <w:r w:rsidRPr="00AB3E34">
        <w:rPr>
          <w:lang w:val="en-US"/>
        </w:rPr>
        <w:t>behaviour</w:t>
      </w:r>
      <w:proofErr w:type="spellEnd"/>
      <w:r w:rsidRPr="00AB3E34">
        <w:rPr>
          <w:lang w:val="en-US"/>
        </w:rPr>
        <w:t>, while retaining aggregated data for long-term trends.</w:t>
      </w:r>
    </w:p>
    <w:p w14:paraId="10A7C127" w14:textId="77777777" w:rsidR="00904A53" w:rsidRPr="00AB3E34" w:rsidRDefault="00904A53" w:rsidP="00904A53">
      <w:pPr>
        <w:pStyle w:val="Heading2"/>
      </w:pPr>
      <w:r w:rsidRPr="00AB3E34">
        <w:t>Instantaneous, time-weighted and volume-weighted values</w:t>
      </w:r>
    </w:p>
    <w:p w14:paraId="0EA9B16A" w14:textId="77777777" w:rsidR="00904A53" w:rsidRPr="00AB3E34" w:rsidRDefault="00904A53" w:rsidP="002F69B6">
      <w:pPr>
        <w:pStyle w:val="NoSpacing"/>
        <w:rPr>
          <w:lang w:val="en-US"/>
        </w:rPr>
      </w:pPr>
      <w:r w:rsidRPr="00AB3E34">
        <w:rPr>
          <w:lang w:val="en-US"/>
        </w:rPr>
        <w:t>An instantaneous value describes one time point; a time-weighted average gives equal importance to each period; a volume-weighted average gives greater importance to periods with greater water flow. The selected method must match the performance question, because the same installation can appear different under each metric.</w:t>
      </w:r>
    </w:p>
    <w:p w14:paraId="2428D5D0" w14:textId="2C316BCC" w:rsidR="00904A53" w:rsidRPr="00AB3E34" w:rsidRDefault="00904A53" w:rsidP="00904A53">
      <w:pPr>
        <w:pStyle w:val="Heading2"/>
      </w:pPr>
      <w:r w:rsidRPr="00AB3E34">
        <w:t>Mode-specific return-temperature KPI</w:t>
      </w:r>
    </w:p>
    <w:p w14:paraId="4D9F626E" w14:textId="77777777" w:rsidR="00904A53" w:rsidRPr="00AB3E34" w:rsidRDefault="00904A53" w:rsidP="002F69B6">
      <w:pPr>
        <w:pStyle w:val="NoSpacing"/>
        <w:rPr>
          <w:lang w:val="en-US"/>
        </w:rPr>
      </w:pPr>
      <w:r w:rsidRPr="00AB3E34">
        <w:rPr>
          <w:lang w:val="en-US"/>
        </w:rPr>
        <w:t xml:space="preserve">A return-temperature metric calculated separately for space heating, DHW, keep-warm, standby or other operating modes. Mode separation helps identify the source of poor annual performance and avoids masking a serious standby or DHW fault within a </w:t>
      </w:r>
      <w:proofErr w:type="spellStart"/>
      <w:r w:rsidRPr="00AB3E34">
        <w:rPr>
          <w:lang w:val="en-US"/>
        </w:rPr>
        <w:t>favourable</w:t>
      </w:r>
      <w:proofErr w:type="spellEnd"/>
      <w:r w:rsidRPr="00AB3E34">
        <w:rPr>
          <w:lang w:val="en-US"/>
        </w:rPr>
        <w:t xml:space="preserve"> heating-season average.</w:t>
      </w:r>
    </w:p>
    <w:p w14:paraId="768FF5F1" w14:textId="77777777" w:rsidR="00904A53" w:rsidRPr="00AB3E34" w:rsidRDefault="00904A53" w:rsidP="00904A53">
      <w:pPr>
        <w:pStyle w:val="Heading2"/>
      </w:pPr>
      <w:r w:rsidRPr="00AB3E34">
        <w:t>Threshold exceedance / degree-hours above target</w:t>
      </w:r>
    </w:p>
    <w:p w14:paraId="4FFF6F1E" w14:textId="4CFCE10C" w:rsidR="00F61715" w:rsidRPr="00C57A42" w:rsidRDefault="00904A53" w:rsidP="00C57A42">
      <w:pPr>
        <w:pStyle w:val="NoSpacing"/>
        <w:rPr>
          <w:lang w:val="en-US"/>
        </w:rPr>
      </w:pPr>
      <w:r w:rsidRPr="00AB3E34">
        <w:rPr>
          <w:lang w:val="en-US"/>
        </w:rPr>
        <w:t>A metric describing how often and by how much return temperature exceeds a defined target. Percentage of time or volume above target identifies persistence, while temperature-degree-hours or volume-weighted exceedance can reflect severity.</w:t>
      </w:r>
    </w:p>
    <w:p w14:paraId="6E6318DD" w14:textId="374AE9FD" w:rsidR="00904A53" w:rsidRPr="00AB3E34" w:rsidRDefault="00904A53" w:rsidP="00904A53">
      <w:pPr>
        <w:pStyle w:val="Heading2"/>
      </w:pPr>
      <w:r w:rsidRPr="00AB3E34">
        <w:t>Measurement uncertainty and data validation</w:t>
      </w:r>
    </w:p>
    <w:p w14:paraId="6ABDC33B" w14:textId="77777777" w:rsidR="00904A53" w:rsidRPr="00AB3E34" w:rsidRDefault="00904A53" w:rsidP="002F69B6">
      <w:pPr>
        <w:pStyle w:val="NoSpacing"/>
        <w:rPr>
          <w:lang w:val="en-US"/>
        </w:rPr>
      </w:pPr>
      <w:r w:rsidRPr="00AB3E34">
        <w:rPr>
          <w:lang w:val="en-US"/>
        </w:rPr>
        <w:t>Assessment of sensor accuracy, flow-meter range, timing alignment, missing data, outliers and operating-mode classification before KPIs are interpreted. ΔT becomes especially uncertain when the difference between two temperatures is small or when the sensors are not a matched pair.</w:t>
      </w:r>
    </w:p>
    <w:p w14:paraId="0CF78C79" w14:textId="77777777" w:rsidR="00904A53" w:rsidRPr="00AB3E34" w:rsidRDefault="00904A53" w:rsidP="00904A53">
      <w:pPr>
        <w:pStyle w:val="Heading2"/>
      </w:pPr>
      <w:r w:rsidRPr="00AB3E34">
        <w:t>Benchmarking and KPI tracking</w:t>
      </w:r>
    </w:p>
    <w:p w14:paraId="0FD4AFDD" w14:textId="77777777" w:rsidR="00904A53" w:rsidRPr="00AB3E34" w:rsidRDefault="00904A53" w:rsidP="002F69B6">
      <w:pPr>
        <w:pStyle w:val="NoSpacing"/>
        <w:rPr>
          <w:lang w:val="en-US"/>
        </w:rPr>
      </w:pPr>
      <w:r w:rsidRPr="00AB3E34">
        <w:rPr>
          <w:lang w:val="en-US"/>
        </w:rPr>
        <w:t>Comparison of an interface against its design target, its own historical baseline, comparable connections or network thresholds. Fair benchmarking should account for supply temperature, outdoor conditions, load, DHW cold-water temperature, occupancy and interface type rather than relying only on an unadjusted network average.</w:t>
      </w:r>
    </w:p>
    <w:p w14:paraId="6D6B63B6" w14:textId="77777777" w:rsidR="00904A53" w:rsidRPr="00AB3E34" w:rsidRDefault="00904A53" w:rsidP="00904A53">
      <w:pPr>
        <w:pStyle w:val="Heading2"/>
      </w:pPr>
      <w:r w:rsidRPr="00AB3E34">
        <w:t>Network capacity and pumping impact</w:t>
      </w:r>
    </w:p>
    <w:p w14:paraId="4BDD2052" w14:textId="77777777" w:rsidR="00904A53" w:rsidRPr="00AB3E34" w:rsidRDefault="00904A53" w:rsidP="002F69B6">
      <w:pPr>
        <w:pStyle w:val="NoSpacing"/>
        <w:rPr>
          <w:lang w:val="en-US"/>
        </w:rPr>
      </w:pPr>
      <w:r w:rsidRPr="00AB3E34">
        <w:rPr>
          <w:lang w:val="en-US"/>
        </w:rPr>
        <w:t>For a given heat demand, low ΔT increases required flow and therefore uses more pipe and pump capacity. Aggregate excess flow can increase pumping electricity, differential-pressure problems and hydraulic bottlenecks and may restrict additional connections even when sufficient heat-generation capacity exists.</w:t>
      </w:r>
    </w:p>
    <w:p w14:paraId="7D2DD682" w14:textId="77777777" w:rsidR="00904A53" w:rsidRPr="00AB3E34" w:rsidRDefault="00904A53" w:rsidP="00904A53">
      <w:pPr>
        <w:pStyle w:val="Heading2"/>
      </w:pPr>
      <w:r w:rsidRPr="00AB3E34">
        <w:t>Heat-generation and renewable-source impact</w:t>
      </w:r>
    </w:p>
    <w:p w14:paraId="628B2891" w14:textId="77777777" w:rsidR="00904A53" w:rsidRPr="00AB3E34" w:rsidRDefault="00904A53" w:rsidP="002F69B6">
      <w:pPr>
        <w:pStyle w:val="NoSpacing"/>
        <w:rPr>
          <w:lang w:val="en-US"/>
        </w:rPr>
      </w:pPr>
      <w:r w:rsidRPr="00AB3E34">
        <w:rPr>
          <w:lang w:val="en-US"/>
        </w:rPr>
        <w:t>Lower return temperatures can improve the usable output or efficiency of condensing boilers, heat pumps, CHP heat recovery, flue-gas condensation, solar thermal, geothermal and low-grade excess-heat sources, depending on plant configuration. The benefit is source-specific and should be evaluated using actual plant performance curves.</w:t>
      </w:r>
    </w:p>
    <w:p w14:paraId="0FA03FE2" w14:textId="77777777" w:rsidR="00904A53" w:rsidRPr="00AB3E34" w:rsidRDefault="00904A53" w:rsidP="00904A53">
      <w:pPr>
        <w:pStyle w:val="Heading2"/>
      </w:pPr>
      <w:r w:rsidRPr="00AB3E34">
        <w:t>Distribution heat-loss impact</w:t>
      </w:r>
    </w:p>
    <w:p w14:paraId="11BF8896" w14:textId="77777777" w:rsidR="00904A53" w:rsidRPr="00AB3E34" w:rsidRDefault="00904A53" w:rsidP="002F69B6">
      <w:pPr>
        <w:pStyle w:val="NoSpacing"/>
        <w:rPr>
          <w:lang w:val="en-US"/>
        </w:rPr>
      </w:pPr>
      <w:r w:rsidRPr="00AB3E34">
        <w:rPr>
          <w:lang w:val="en-US"/>
        </w:rPr>
        <w:t>Return temperature contributes to the mean network temperature and therefore to heat exchange with the surroundings. Lower return temperature generally reduces distribution loss, but the total effect also depends on supply temperature, pipe insulation, ground temperature, flow, network length and operating hours.</w:t>
      </w:r>
    </w:p>
    <w:p w14:paraId="3891C8A1" w14:textId="77777777" w:rsidR="00904A53" w:rsidRPr="00AB3E34" w:rsidRDefault="00904A53" w:rsidP="00904A53">
      <w:pPr>
        <w:pStyle w:val="Heading2"/>
      </w:pPr>
      <w:r w:rsidRPr="00AB3E34">
        <w:t>Return-temperature tariff / bonus-penalty mechanism</w:t>
      </w:r>
    </w:p>
    <w:p w14:paraId="17DD0640" w14:textId="2C2A00C2" w:rsidR="00F20775" w:rsidRPr="00AB3E34" w:rsidRDefault="00904A53" w:rsidP="00C145E4">
      <w:pPr>
        <w:pStyle w:val="NoSpacing"/>
        <w:rPr>
          <w:lang w:val="en-US" w:eastAsia="lv-LV"/>
        </w:rPr>
      </w:pPr>
      <w:r w:rsidRPr="00AB3E34">
        <w:rPr>
          <w:lang w:val="en-US"/>
        </w:rPr>
        <w:t>A tariff component that rewards low return temperature or low specific volume flow, or charges for performance above a threshold. It can align customer and network incentives, but thresholds, weather adjustment, metering quality and responsibilities for building-side faults must be transparent.</w:t>
      </w:r>
    </w:p>
    <w:sectPr w:rsidR="00F20775" w:rsidRPr="00AB3E34" w:rsidSect="00AC3070">
      <w:headerReference w:type="default" r:id="rId7"/>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FBE17" w14:textId="77777777" w:rsidR="001D3989" w:rsidRDefault="001D3989" w:rsidP="00AC3070">
      <w:pPr>
        <w:spacing w:line="240" w:lineRule="auto"/>
      </w:pPr>
      <w:r>
        <w:separator/>
      </w:r>
    </w:p>
  </w:endnote>
  <w:endnote w:type="continuationSeparator" w:id="0">
    <w:p w14:paraId="0B8516CB" w14:textId="77777777" w:rsidR="001D3989" w:rsidRDefault="001D3989" w:rsidP="00AC30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6C12" w14:textId="1DBD53ED" w:rsidR="00AC3070" w:rsidRPr="004B45C1" w:rsidRDefault="00000000" w:rsidP="004B45C1">
    <w:pPr>
      <w:pStyle w:val="Footer"/>
      <w:jc w:val="right"/>
      <w:rPr>
        <w:lang w:val="en-US"/>
      </w:rPr>
    </w:pPr>
    <w:sdt>
      <w:sdtPr>
        <w:id w:val="-662635125"/>
        <w:docPartObj>
          <w:docPartGallery w:val="Page Numbers (Bottom of Page)"/>
          <w:docPartUnique/>
        </w:docPartObj>
      </w:sdtPr>
      <w:sdtContent>
        <w:r w:rsidR="004B45C1">
          <w:fldChar w:fldCharType="begin"/>
        </w:r>
        <w:r w:rsidR="004B45C1">
          <w:instrText>PAGE   \* MERGEFORMAT</w:instrText>
        </w:r>
        <w:r w:rsidR="004B45C1">
          <w:fldChar w:fldCharType="separate"/>
        </w:r>
        <w:r w:rsidR="004B45C1">
          <w:t>1</w:t>
        </w:r>
        <w:r w:rsidR="004B45C1">
          <w:fldChar w:fldCharType="end"/>
        </w:r>
      </w:sdtContent>
    </w:sdt>
    <w:r w:rsidR="004B45C1">
      <w:tab/>
    </w:r>
    <w:proofErr w:type="spellStart"/>
    <w:r w:rsidR="004B45C1">
      <w:rPr>
        <w:lang w:val="en-US"/>
      </w:rPr>
      <w:t>RepowerRegions</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03C1A" w14:textId="77777777" w:rsidR="001D3989" w:rsidRDefault="001D3989" w:rsidP="00AC3070">
      <w:pPr>
        <w:spacing w:line="240" w:lineRule="auto"/>
      </w:pPr>
      <w:r>
        <w:separator/>
      </w:r>
    </w:p>
  </w:footnote>
  <w:footnote w:type="continuationSeparator" w:id="0">
    <w:p w14:paraId="74FE6CD0" w14:textId="77777777" w:rsidR="001D3989" w:rsidRDefault="001D3989" w:rsidP="00AC30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6A6B3" w14:textId="165E9E07" w:rsidR="00997DC8" w:rsidRDefault="00AC3070" w:rsidP="00997DC8">
    <w:pPr>
      <w:tabs>
        <w:tab w:val="right" w:pos="9638"/>
      </w:tabs>
      <w:spacing w:line="240" w:lineRule="auto"/>
      <w:jc w:val="left"/>
      <w:rPr>
        <w:rFonts w:eastAsia="Times New Roman" w:cs="Times New Roman"/>
        <w:lang w:val="en-GB" w:eastAsia="lv-LV"/>
      </w:rPr>
    </w:pPr>
    <w:r w:rsidRPr="00997DC8">
      <w:rPr>
        <w:rFonts w:eastAsia="Times New Roman" w:cs="Times New Roman"/>
        <w:lang w:val="en-US" w:eastAsia="lv-LV"/>
      </w:rPr>
      <w:t xml:space="preserve">Module 4. </w:t>
    </w:r>
    <w:r w:rsidRPr="00997DC8">
      <w:rPr>
        <w:lang w:val="en-US" w:eastAsia="lv-LV"/>
      </w:rPr>
      <w:t>Integrating with District ​&amp; Renewable Heat ​</w:t>
    </w:r>
    <w:r w:rsidR="00997DC8" w:rsidRPr="00997DC8">
      <w:rPr>
        <w:rFonts w:eastAsia="Times New Roman" w:cs="Times New Roman"/>
        <w:lang w:val="en-US" w:eastAsia="lv-LV"/>
      </w:rPr>
      <w:t xml:space="preserve"> </w:t>
    </w:r>
    <w:r w:rsidR="00997DC8" w:rsidRPr="00997DC8">
      <w:rPr>
        <w:rFonts w:eastAsia="Times New Roman" w:cs="Times New Roman"/>
        <w:lang w:val="en-US" w:eastAsia="lv-LV"/>
      </w:rPr>
      <w:tab/>
      <w:t>KEY</w:t>
    </w:r>
    <w:r w:rsidR="00006D99">
      <w:rPr>
        <w:rFonts w:eastAsia="Times New Roman" w:cs="Times New Roman"/>
        <w:lang w:val="en-US" w:eastAsia="lv-LV"/>
      </w:rPr>
      <w:t xml:space="preserve"> </w:t>
    </w:r>
    <w:r w:rsidR="00997DC8" w:rsidRPr="00997DC8">
      <w:rPr>
        <w:rFonts w:eastAsia="Times New Roman" w:cs="Times New Roman"/>
        <w:lang w:val="en-US" w:eastAsia="lv-LV"/>
      </w:rPr>
      <w:t>TERMS</w:t>
    </w:r>
    <w:r w:rsidRPr="00997DC8">
      <w:rPr>
        <w:lang w:val="en-US" w:eastAsia="lv-LV"/>
      </w:rPr>
      <w:br/>
    </w:r>
    <w:r w:rsidR="00B5782A" w:rsidRPr="00B5782A">
      <w:rPr>
        <w:rFonts w:eastAsia="Times New Roman" w:cs="Times New Roman"/>
        <w:lang w:val="en-GB" w:eastAsia="lv-LV"/>
      </w:rPr>
      <w:t>Unit 3</w:t>
    </w:r>
    <w:r w:rsidR="00B5782A">
      <w:rPr>
        <w:rFonts w:eastAsia="Times New Roman" w:cs="Times New Roman"/>
        <w:lang w:val="en-GB" w:eastAsia="lv-LV"/>
      </w:rPr>
      <w:t>.</w:t>
    </w:r>
    <w:r w:rsidR="00B5782A" w:rsidRPr="00B5782A">
      <w:rPr>
        <w:rFonts w:eastAsia="Times New Roman" w:cs="Times New Roman"/>
        <w:lang w:val="en-GB" w:eastAsia="lv-LV"/>
      </w:rPr>
      <w:t xml:space="preserve"> Return Temperature, ΔT, and Performance Optimisation at the Interface</w:t>
    </w:r>
  </w:p>
  <w:p w14:paraId="675C3659" w14:textId="77777777" w:rsidR="00997DC8" w:rsidRPr="00997DC8" w:rsidRDefault="00997DC8" w:rsidP="00997DC8">
    <w:pPr>
      <w:tabs>
        <w:tab w:val="right" w:pos="9638"/>
      </w:tabs>
      <w:spacing w:line="240" w:lineRule="auto"/>
      <w:jc w:val="left"/>
      <w:rPr>
        <w:rFonts w:eastAsia="Times New Roman" w:cs="Times New Roman"/>
        <w:lang w:val="en-US" w:eastAsia="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0020C"/>
    <w:multiLevelType w:val="hybridMultilevel"/>
    <w:tmpl w:val="2E909B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F803040"/>
    <w:multiLevelType w:val="multilevel"/>
    <w:tmpl w:val="86480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BA861C0"/>
    <w:multiLevelType w:val="multilevel"/>
    <w:tmpl w:val="A6D48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395395">
    <w:abstractNumId w:val="2"/>
  </w:num>
  <w:num w:numId="2" w16cid:durableId="1021006593">
    <w:abstractNumId w:val="1"/>
  </w:num>
  <w:num w:numId="3" w16cid:durableId="2084064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825"/>
    <w:rsid w:val="00006D99"/>
    <w:rsid w:val="00095C22"/>
    <w:rsid w:val="001A103A"/>
    <w:rsid w:val="001B13D9"/>
    <w:rsid w:val="001D3989"/>
    <w:rsid w:val="0020685D"/>
    <w:rsid w:val="002B495A"/>
    <w:rsid w:val="002F69B6"/>
    <w:rsid w:val="003E3E7D"/>
    <w:rsid w:val="003F67B7"/>
    <w:rsid w:val="004A3AD6"/>
    <w:rsid w:val="004B45C1"/>
    <w:rsid w:val="00774F6D"/>
    <w:rsid w:val="0082212F"/>
    <w:rsid w:val="00824825"/>
    <w:rsid w:val="00896C49"/>
    <w:rsid w:val="008D1DEC"/>
    <w:rsid w:val="00904A53"/>
    <w:rsid w:val="0098393A"/>
    <w:rsid w:val="00997DC8"/>
    <w:rsid w:val="009C116A"/>
    <w:rsid w:val="00A35A0F"/>
    <w:rsid w:val="00AB3E34"/>
    <w:rsid w:val="00AC3070"/>
    <w:rsid w:val="00B5782A"/>
    <w:rsid w:val="00C145E4"/>
    <w:rsid w:val="00C53484"/>
    <w:rsid w:val="00C57A42"/>
    <w:rsid w:val="00CF51A9"/>
    <w:rsid w:val="00D93BA7"/>
    <w:rsid w:val="00DB4F64"/>
    <w:rsid w:val="00F20775"/>
    <w:rsid w:val="00F275E3"/>
    <w:rsid w:val="00F35470"/>
    <w:rsid w:val="00F37C24"/>
    <w:rsid w:val="00F50DD8"/>
    <w:rsid w:val="00F6171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53719"/>
  <w15:chartTrackingRefBased/>
  <w15:docId w15:val="{20F34E66-4CAF-4B8C-BBA7-2FEF3F505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C22"/>
    <w:pPr>
      <w:spacing w:after="0"/>
      <w:jc w:val="both"/>
    </w:pPr>
    <w:rPr>
      <w:rFonts w:ascii="Times New Roman" w:hAnsi="Times New Roman"/>
    </w:rPr>
  </w:style>
  <w:style w:type="paragraph" w:styleId="Heading1">
    <w:name w:val="heading 1"/>
    <w:basedOn w:val="Heading2"/>
    <w:next w:val="Normal"/>
    <w:link w:val="Heading1Char"/>
    <w:uiPriority w:val="9"/>
    <w:qFormat/>
    <w:rsid w:val="00904A53"/>
    <w:pPr>
      <w:jc w:val="center"/>
      <w:outlineLvl w:val="0"/>
    </w:pPr>
    <w:rPr>
      <w:sz w:val="28"/>
    </w:rPr>
  </w:style>
  <w:style w:type="paragraph" w:styleId="Heading2">
    <w:name w:val="heading 2"/>
    <w:basedOn w:val="Normal"/>
    <w:link w:val="Heading2Char"/>
    <w:uiPriority w:val="9"/>
    <w:qFormat/>
    <w:rsid w:val="00904A53"/>
    <w:pPr>
      <w:spacing w:before="240" w:line="240" w:lineRule="auto"/>
      <w:jc w:val="left"/>
      <w:outlineLvl w:val="1"/>
    </w:pPr>
    <w:rPr>
      <w:rFonts w:eastAsia="Times New Roman" w:cs="Times New Roman"/>
      <w:b/>
      <w:bCs/>
      <w:sz w:val="24"/>
      <w:szCs w:val="40"/>
      <w:lang w:val="en-US" w:eastAsia="lv-LV"/>
    </w:rPr>
  </w:style>
  <w:style w:type="paragraph" w:styleId="Heading3">
    <w:name w:val="heading 3"/>
    <w:basedOn w:val="Heading2"/>
    <w:next w:val="Normal"/>
    <w:link w:val="Heading3Char"/>
    <w:uiPriority w:val="9"/>
    <w:unhideWhenUsed/>
    <w:qFormat/>
    <w:rsid w:val="00997DC8"/>
    <w:pPr>
      <w:outlineLvl w:val="2"/>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04A53"/>
    <w:rPr>
      <w:rFonts w:ascii="Times New Roman" w:eastAsia="Times New Roman" w:hAnsi="Times New Roman" w:cs="Times New Roman"/>
      <w:b/>
      <w:bCs/>
      <w:sz w:val="24"/>
      <w:szCs w:val="40"/>
      <w:lang w:val="en-US" w:eastAsia="lv-LV"/>
    </w:rPr>
  </w:style>
  <w:style w:type="paragraph" w:customStyle="1" w:styleId="font-claude-response-body">
    <w:name w:val="font-claude-response-body"/>
    <w:basedOn w:val="Normal"/>
    <w:rsid w:val="00824825"/>
    <w:pPr>
      <w:spacing w:before="100" w:beforeAutospacing="1" w:after="100" w:afterAutospacing="1" w:line="240" w:lineRule="auto"/>
    </w:pPr>
    <w:rPr>
      <w:rFonts w:eastAsia="Times New Roman" w:cs="Times New Roman"/>
      <w:sz w:val="24"/>
      <w:szCs w:val="24"/>
      <w:lang w:eastAsia="lv-LV"/>
    </w:rPr>
  </w:style>
  <w:style w:type="character" w:styleId="Strong">
    <w:name w:val="Strong"/>
    <w:basedOn w:val="DefaultParagraphFont"/>
    <w:uiPriority w:val="22"/>
    <w:qFormat/>
    <w:rsid w:val="00824825"/>
    <w:rPr>
      <w:b/>
      <w:bCs/>
    </w:rPr>
  </w:style>
  <w:style w:type="paragraph" w:styleId="NormalWeb">
    <w:name w:val="Normal (Web)"/>
    <w:basedOn w:val="Normal"/>
    <w:uiPriority w:val="99"/>
    <w:semiHidden/>
    <w:unhideWhenUsed/>
    <w:rsid w:val="00AC3070"/>
    <w:pPr>
      <w:spacing w:before="100" w:beforeAutospacing="1" w:after="100" w:afterAutospacing="1" w:line="240" w:lineRule="auto"/>
      <w:jc w:val="left"/>
    </w:pPr>
    <w:rPr>
      <w:rFonts w:eastAsia="Times New Roman" w:cs="Times New Roman"/>
      <w:sz w:val="24"/>
      <w:szCs w:val="24"/>
      <w:lang w:val="de-DE" w:eastAsia="de-DE"/>
    </w:rPr>
  </w:style>
  <w:style w:type="paragraph" w:styleId="Header">
    <w:name w:val="header"/>
    <w:basedOn w:val="Normal"/>
    <w:link w:val="HeaderChar"/>
    <w:uiPriority w:val="99"/>
    <w:unhideWhenUsed/>
    <w:rsid w:val="00AC3070"/>
    <w:pPr>
      <w:tabs>
        <w:tab w:val="center" w:pos="4513"/>
        <w:tab w:val="right" w:pos="9026"/>
      </w:tabs>
      <w:spacing w:line="240" w:lineRule="auto"/>
    </w:pPr>
  </w:style>
  <w:style w:type="character" w:customStyle="1" w:styleId="HeaderChar">
    <w:name w:val="Header Char"/>
    <w:basedOn w:val="DefaultParagraphFont"/>
    <w:link w:val="Header"/>
    <w:uiPriority w:val="99"/>
    <w:rsid w:val="00AC3070"/>
    <w:rPr>
      <w:rFonts w:ascii="Times New Roman" w:hAnsi="Times New Roman"/>
    </w:rPr>
  </w:style>
  <w:style w:type="paragraph" w:styleId="Footer">
    <w:name w:val="footer"/>
    <w:basedOn w:val="Normal"/>
    <w:link w:val="FooterChar"/>
    <w:uiPriority w:val="99"/>
    <w:unhideWhenUsed/>
    <w:rsid w:val="00AC3070"/>
    <w:pPr>
      <w:tabs>
        <w:tab w:val="center" w:pos="4513"/>
        <w:tab w:val="right" w:pos="9026"/>
      </w:tabs>
      <w:spacing w:line="240" w:lineRule="auto"/>
    </w:pPr>
  </w:style>
  <w:style w:type="character" w:customStyle="1" w:styleId="FooterChar">
    <w:name w:val="Footer Char"/>
    <w:basedOn w:val="DefaultParagraphFont"/>
    <w:link w:val="Footer"/>
    <w:uiPriority w:val="99"/>
    <w:rsid w:val="00AC3070"/>
    <w:rPr>
      <w:rFonts w:ascii="Times New Roman" w:hAnsi="Times New Roman"/>
    </w:rPr>
  </w:style>
  <w:style w:type="character" w:customStyle="1" w:styleId="Heading3Char">
    <w:name w:val="Heading 3 Char"/>
    <w:basedOn w:val="DefaultParagraphFont"/>
    <w:link w:val="Heading3"/>
    <w:uiPriority w:val="9"/>
    <w:rsid w:val="00997DC8"/>
    <w:rPr>
      <w:rFonts w:ascii="Times New Roman" w:eastAsia="Times New Roman" w:hAnsi="Times New Roman" w:cs="Times New Roman"/>
      <w:b/>
      <w:bCs/>
      <w:sz w:val="24"/>
      <w:szCs w:val="40"/>
      <w:lang w:val="en-US" w:eastAsia="lv-LV"/>
    </w:rPr>
  </w:style>
  <w:style w:type="paragraph" w:customStyle="1" w:styleId="GlossaryDefinition">
    <w:name w:val="Glossary Definition"/>
    <w:rsid w:val="00997DC8"/>
    <w:pPr>
      <w:spacing w:after="60" w:line="276" w:lineRule="auto"/>
    </w:pPr>
    <w:rPr>
      <w:rFonts w:ascii="Arial" w:eastAsia="Arial" w:hAnsi="Arial"/>
      <w:color w:val="202020"/>
      <w:sz w:val="21"/>
      <w:lang w:val="en-US"/>
    </w:rPr>
  </w:style>
  <w:style w:type="character" w:customStyle="1" w:styleId="Heading1Char">
    <w:name w:val="Heading 1 Char"/>
    <w:basedOn w:val="DefaultParagraphFont"/>
    <w:link w:val="Heading1"/>
    <w:uiPriority w:val="9"/>
    <w:rsid w:val="00904A53"/>
    <w:rPr>
      <w:rFonts w:ascii="Times New Roman" w:eastAsia="Times New Roman" w:hAnsi="Times New Roman" w:cs="Times New Roman"/>
      <w:b/>
      <w:bCs/>
      <w:sz w:val="28"/>
      <w:szCs w:val="40"/>
      <w:lang w:val="en-US" w:eastAsia="lv-LV"/>
    </w:rPr>
  </w:style>
  <w:style w:type="paragraph" w:customStyle="1" w:styleId="TermDefinition">
    <w:name w:val="Term Definition"/>
    <w:rsid w:val="00904A53"/>
    <w:pPr>
      <w:spacing w:after="100" w:line="252" w:lineRule="auto"/>
      <w:ind w:left="173"/>
    </w:pPr>
    <w:rPr>
      <w:rFonts w:ascii="Aptos" w:eastAsiaTheme="minorEastAsia" w:hAnsi="Aptos"/>
      <w:sz w:val="20"/>
      <w:lang w:val="en-US"/>
    </w:rPr>
  </w:style>
  <w:style w:type="paragraph" w:styleId="NoSpacing">
    <w:name w:val="No Spacing"/>
    <w:aliases w:val="Text"/>
    <w:uiPriority w:val="1"/>
    <w:qFormat/>
    <w:rsid w:val="002F69B6"/>
    <w:pPr>
      <w:spacing w:after="0" w:line="240" w:lineRule="auto"/>
      <w:ind w:left="113"/>
      <w:jc w:val="both"/>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9080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02253C9AEBC71C47A227A4829C21DF97" ma:contentTypeVersion="12" ma:contentTypeDescription="Создание документа." ma:contentTypeScope="" ma:versionID="c08ecda7829650c9ca8e883389edc514">
  <xsd:schema xmlns:xsd="http://www.w3.org/2001/XMLSchema" xmlns:xs="http://www.w3.org/2001/XMLSchema" xmlns:p="http://schemas.microsoft.com/office/2006/metadata/properties" xmlns:ns2="6c6dc0c2-662f-483e-a2ac-c4906ac02010" xmlns:ns3="02ef16f0-a918-4a7c-ac07-b4517a8518d9" targetNamespace="http://schemas.microsoft.com/office/2006/metadata/properties" ma:root="true" ma:fieldsID="95b37ab51bf15cb650d477a5fdec67b1" ns2:_="" ns3:_="">
    <xsd:import namespace="6c6dc0c2-662f-483e-a2ac-c4906ac02010"/>
    <xsd:import namespace="02ef16f0-a918-4a7c-ac07-b4517a851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dc0c2-662f-483e-a2ac-c4906ac020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Теги изображений" ma:readOnly="false" ma:fieldId="{5cf76f15-5ced-4ddc-b409-7134ff3c332f}" ma:taxonomyMulti="true" ma:sspId="130c09f6-3d71-40eb-857e-9c2f3277bed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ef16f0-a918-4a7c-ac07-b4517a851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720744f-9884-408f-a7c8-a5d3396591a8}" ma:internalName="TaxCatchAll" ma:showField="CatchAllData" ma:web="02ef16f0-a918-4a7c-ac07-b4517a851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6dc0c2-662f-483e-a2ac-c4906ac02010">
      <Terms xmlns="http://schemas.microsoft.com/office/infopath/2007/PartnerControls"/>
    </lcf76f155ced4ddcb4097134ff3c332f>
    <TaxCatchAll xmlns="02ef16f0-a918-4a7c-ac07-b4517a8518d9" xsi:nil="true"/>
  </documentManagement>
</p:properties>
</file>

<file path=customXml/itemProps1.xml><?xml version="1.0" encoding="utf-8"?>
<ds:datastoreItem xmlns:ds="http://schemas.openxmlformats.org/officeDocument/2006/customXml" ds:itemID="{4BDAE619-6A87-43D6-905B-2DD080E6328F}"/>
</file>

<file path=customXml/itemProps2.xml><?xml version="1.0" encoding="utf-8"?>
<ds:datastoreItem xmlns:ds="http://schemas.openxmlformats.org/officeDocument/2006/customXml" ds:itemID="{A1B2AA62-962A-4AFC-AB76-6F9EDB211C3B}"/>
</file>

<file path=customXml/itemProps3.xml><?xml version="1.0" encoding="utf-8"?>
<ds:datastoreItem xmlns:ds="http://schemas.openxmlformats.org/officeDocument/2006/customXml" ds:itemID="{EB3EB922-04D9-4B7F-ABF8-B404D00108E3}"/>
</file>

<file path=docProps/app.xml><?xml version="1.0" encoding="utf-8"?>
<Properties xmlns="http://schemas.openxmlformats.org/officeDocument/2006/extended-properties" xmlns:vt="http://schemas.openxmlformats.org/officeDocument/2006/docPropsVTypes">
  <Template>Normal.dotm</Template>
  <TotalTime>0</TotalTime>
  <Pages>4</Pages>
  <Words>1830</Words>
  <Characters>11535</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Tambovceva</dc:creator>
  <cp:keywords/>
  <dc:description/>
  <cp:lastModifiedBy>Raimonds Bogdanovičs</cp:lastModifiedBy>
  <cp:revision>9</cp:revision>
  <dcterms:created xsi:type="dcterms:W3CDTF">2026-07-24T11:51:00Z</dcterms:created>
  <dcterms:modified xsi:type="dcterms:W3CDTF">2026-07-24T19:16:00Z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0x01010002253C9AEBC71C47A227A4829C21DF97</vt:lpwstr>
  </property>
</Properties>
</file>