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07C79F" w14:textId="22AAE88B" w:rsidR="00CF51A9" w:rsidRPr="00CC553E" w:rsidRDefault="009F3AFA" w:rsidP="00CC553E">
      <w:pPr>
        <w:pStyle w:val="Heading1"/>
      </w:pPr>
      <w:r w:rsidRPr="00CC553E">
        <w:t>Interface concepts and configurations</w:t>
      </w:r>
    </w:p>
    <w:p w14:paraId="6E43EC8D" w14:textId="77777777" w:rsidR="009F3AFA" w:rsidRPr="00CC553E" w:rsidRDefault="009F3AFA" w:rsidP="00CC553E">
      <w:pPr>
        <w:pStyle w:val="Heading2"/>
      </w:pPr>
      <w:r w:rsidRPr="00CC553E">
        <w:t>Building–network interface</w:t>
      </w:r>
    </w:p>
    <w:p w14:paraId="3ED6CAC5" w14:textId="77777777" w:rsidR="009F3AFA" w:rsidRPr="00730B76" w:rsidRDefault="009F3AFA" w:rsidP="00730B76">
      <w:pPr>
        <w:pStyle w:val="NoSpacing"/>
      </w:pPr>
      <w:r w:rsidRPr="00730B76">
        <w:t>The physical and functional boundary at which thermal energy is transferred between a district heating or cooling network and a building system. It includes the hydraulic connection, heat exchangers, control valves, metering, safety devices, sensors and communication functions needed to deliver energy while protecting both systems.</w:t>
      </w:r>
    </w:p>
    <w:p w14:paraId="2A7DEA6A" w14:textId="77777777" w:rsidR="009F3AFA" w:rsidRPr="009F3AFA" w:rsidRDefault="009F3AFA" w:rsidP="00CC553E">
      <w:pPr>
        <w:pStyle w:val="Heading2"/>
      </w:pPr>
      <w:r w:rsidRPr="009F3AFA">
        <w:t>Heat Interface Unit (HIU)</w:t>
      </w:r>
    </w:p>
    <w:p w14:paraId="3B96AD57" w14:textId="77777777" w:rsidR="009F3AFA" w:rsidRPr="009F3AFA" w:rsidRDefault="009F3AFA" w:rsidP="00730B76">
      <w:pPr>
        <w:pStyle w:val="NoSpacing"/>
      </w:pPr>
      <w:r w:rsidRPr="009F3AFA">
        <w:t xml:space="preserve">A packaged unit that connects a dwelling, commercial unit or other individual consumer connection to a communal or district heat network. An HIU may provide space heating, instantaneous domestic hot water (DHW), or both, and commonly </w:t>
      </w:r>
      <w:proofErr w:type="gramStart"/>
      <w:r w:rsidRPr="009F3AFA">
        <w:t>includes</w:t>
      </w:r>
      <w:proofErr w:type="gramEnd"/>
      <w:r w:rsidRPr="009F3AFA">
        <w:t xml:space="preserve"> one or more heat exchangers, control valves, sensors and a heat meter or provision for one. HIUs are not necessarily limited to dwellings and do not always eliminate DHW storage.</w:t>
      </w:r>
    </w:p>
    <w:p w14:paraId="1E84AB5D" w14:textId="77777777" w:rsidR="009F3AFA" w:rsidRPr="009F3AFA" w:rsidRDefault="009F3AFA" w:rsidP="00CC553E">
      <w:pPr>
        <w:pStyle w:val="Heading2"/>
      </w:pPr>
      <w:r w:rsidRPr="009F3AFA">
        <w:t>Substation / energy transfer station</w:t>
      </w:r>
    </w:p>
    <w:p w14:paraId="62AED092" w14:textId="77777777" w:rsidR="009F3AFA" w:rsidRPr="009F3AFA" w:rsidRDefault="009F3AFA" w:rsidP="00730B76">
      <w:pPr>
        <w:pStyle w:val="NoSpacing"/>
      </w:pPr>
      <w:r w:rsidRPr="009F3AFA">
        <w:t>An installation serving a whole building, group of buildings or larger consumer that transfers and controls thermal energy between the district network and the building-side systems. It may contain heat exchangers, pumps, control valves, pressure-control equipment, water-treatment provisions, meters, safety devices, instrumentation and supervisory controls.</w:t>
      </w:r>
    </w:p>
    <w:p w14:paraId="67845D4F" w14:textId="77777777" w:rsidR="009F3AFA" w:rsidRPr="009F3AFA" w:rsidRDefault="009F3AFA" w:rsidP="00CC553E">
      <w:pPr>
        <w:pStyle w:val="Heading2"/>
      </w:pPr>
      <w:r w:rsidRPr="009F3AFA">
        <w:t>Direct connection</w:t>
      </w:r>
    </w:p>
    <w:p w14:paraId="5BFC8B98" w14:textId="77777777" w:rsidR="009F3AFA" w:rsidRPr="009F3AFA" w:rsidRDefault="009F3AFA" w:rsidP="00730B76">
      <w:pPr>
        <w:pStyle w:val="NoSpacing"/>
      </w:pPr>
      <w:r w:rsidRPr="009F3AFA">
        <w:t>A hydraulic arrangement in which district-network water circulates directly through all or part of the building heating system without an intervening heat exchanger. It avoids exchanger temperature loss and may simplify equipment, but subjects the building system to network pressure, pressure variations and water-quality requirements; its suitability must therefore be agreed with the network operator.</w:t>
      </w:r>
    </w:p>
    <w:p w14:paraId="028435A4" w14:textId="77777777" w:rsidR="009F3AFA" w:rsidRPr="009F3AFA" w:rsidRDefault="009F3AFA" w:rsidP="00CC553E">
      <w:pPr>
        <w:pStyle w:val="Heading2"/>
      </w:pPr>
      <w:r w:rsidRPr="009F3AFA">
        <w:t>Indirect connection</w:t>
      </w:r>
    </w:p>
    <w:p w14:paraId="250A8BE1" w14:textId="77777777" w:rsidR="009F3AFA" w:rsidRPr="009F3AFA" w:rsidRDefault="009F3AFA" w:rsidP="00730B76">
      <w:pPr>
        <w:pStyle w:val="NoSpacing"/>
      </w:pPr>
      <w:r w:rsidRPr="009F3AFA">
        <w:t>A hydraulic arrangement in which a heat exchanger separates the district-network circuit from the building circuit. The separation allows the two circuits to operate with different pressures and water-quality regimes and limits cross-contamination. Indirect connection is common but is not universally required.</w:t>
      </w:r>
    </w:p>
    <w:p w14:paraId="20A4EC2B" w14:textId="77777777" w:rsidR="009F3AFA" w:rsidRPr="009F3AFA" w:rsidRDefault="009F3AFA" w:rsidP="00CC553E">
      <w:pPr>
        <w:pStyle w:val="Heading2"/>
      </w:pPr>
      <w:r w:rsidRPr="009F3AFA">
        <w:t>Primary circuit / secondary circuit</w:t>
      </w:r>
    </w:p>
    <w:p w14:paraId="7204E54A" w14:textId="77777777" w:rsidR="009F3AFA" w:rsidRPr="009F3AFA" w:rsidRDefault="009F3AFA" w:rsidP="00730B76">
      <w:pPr>
        <w:pStyle w:val="NoSpacing"/>
      </w:pPr>
      <w:r w:rsidRPr="009F3AFA">
        <w:t>The primary circuit is the district-network side of an indirect interface. The secondary circuit is the building side, which may include separate space-heating, DHW and cooling circuits. In a direct connection, the primary/secondary distinction may be different or may not apply hydraulically.</w:t>
      </w:r>
    </w:p>
    <w:p w14:paraId="3C38BBCC" w14:textId="5E7C8E4C" w:rsidR="009F3AFA" w:rsidRPr="009F3AFA" w:rsidRDefault="00CB6F14" w:rsidP="00CC553E">
      <w:pPr>
        <w:pStyle w:val="Heading1"/>
      </w:pPr>
      <w:proofErr w:type="spellStart"/>
      <w:r w:rsidRPr="00CB6F14">
        <w:rPr>
          <w:lang w:val="lv-LV"/>
        </w:rPr>
        <w:t>Main</w:t>
      </w:r>
      <w:proofErr w:type="spellEnd"/>
      <w:r w:rsidRPr="00CB6F14">
        <w:rPr>
          <w:lang w:val="lv-LV"/>
        </w:rPr>
        <w:t xml:space="preserve"> </w:t>
      </w:r>
      <w:proofErr w:type="spellStart"/>
      <w:r w:rsidRPr="00CB6F14">
        <w:rPr>
          <w:lang w:val="lv-LV"/>
        </w:rPr>
        <w:t>components</w:t>
      </w:r>
      <w:proofErr w:type="spellEnd"/>
    </w:p>
    <w:p w14:paraId="67894644" w14:textId="32EBA486" w:rsidR="009F3AFA" w:rsidRPr="009F3AFA" w:rsidRDefault="009F3AFA" w:rsidP="00CC553E">
      <w:pPr>
        <w:pStyle w:val="Heading2"/>
      </w:pPr>
      <w:r w:rsidRPr="009F3AFA">
        <w:t>Plate heat exchanger (PHE)</w:t>
      </w:r>
      <w:r w:rsidR="00CB6F14">
        <w:t xml:space="preserve"> </w:t>
      </w:r>
    </w:p>
    <w:p w14:paraId="198EF2A0" w14:textId="7B6ECCE5" w:rsidR="00E76009" w:rsidRDefault="009F3AFA" w:rsidP="00EA432A">
      <w:pPr>
        <w:pStyle w:val="NoSpacing"/>
      </w:pPr>
      <w:r w:rsidRPr="009F3AFA">
        <w:t xml:space="preserve">A compact heat exchanger formed from a stack of thin, usually corrugated plates that </w:t>
      </w:r>
      <w:proofErr w:type="gramStart"/>
      <w:r w:rsidRPr="009F3AFA">
        <w:t>transfers</w:t>
      </w:r>
      <w:proofErr w:type="gramEnd"/>
      <w:r w:rsidRPr="009F3AFA">
        <w:t xml:space="preserve"> heat between fluids without mixing them. PHEs are widely used in HIUs and substations because they provide high heat-transfer coefficients and a small footprint. Correct sizing must consider design duty, temperatures, allowable pressure drop, fouling and approach temperature.</w:t>
      </w:r>
    </w:p>
    <w:p w14:paraId="6E197849" w14:textId="77777777" w:rsidR="00D2018F" w:rsidRPr="009F3AFA" w:rsidRDefault="00D2018F" w:rsidP="00D2018F">
      <w:pPr>
        <w:pStyle w:val="Heading2"/>
      </w:pPr>
      <w:r w:rsidRPr="009F3AFA">
        <w:t>Control valve and actuator</w:t>
      </w:r>
    </w:p>
    <w:p w14:paraId="62288340" w14:textId="77777777" w:rsidR="00D2018F" w:rsidRPr="009F3AFA" w:rsidRDefault="00D2018F" w:rsidP="00D2018F">
      <w:pPr>
        <w:pStyle w:val="NoSpacing"/>
      </w:pPr>
      <w:r w:rsidRPr="009F3AFA">
        <w:t xml:space="preserve">A valve and its mechanical, thermal or electrical actuator </w:t>
      </w:r>
      <w:proofErr w:type="gramStart"/>
      <w:r w:rsidRPr="009F3AFA">
        <w:t>used</w:t>
      </w:r>
      <w:proofErr w:type="gramEnd"/>
      <w:r w:rsidRPr="009F3AFA">
        <w:t xml:space="preserve"> to modulate or isolate fluid flow in response to a control signal. Selection should consider flow coefficient, pressure rating, close-off pressure, valve authority, leakage class, response time and fail-safe position.</w:t>
      </w:r>
    </w:p>
    <w:p w14:paraId="019108DB" w14:textId="77777777" w:rsidR="00D2018F" w:rsidRDefault="00D2018F" w:rsidP="00CC553E">
      <w:pPr>
        <w:pStyle w:val="Heading2"/>
      </w:pPr>
    </w:p>
    <w:p w14:paraId="3AC98F40" w14:textId="77777777" w:rsidR="009F3AFA" w:rsidRPr="009F3AFA" w:rsidRDefault="009F3AFA" w:rsidP="00CC553E">
      <w:pPr>
        <w:pStyle w:val="Heading2"/>
      </w:pPr>
      <w:r w:rsidRPr="009F3AFA">
        <w:lastRenderedPageBreak/>
        <w:t>Differential pressure controller (DPC)</w:t>
      </w:r>
    </w:p>
    <w:p w14:paraId="6189697B" w14:textId="77777777" w:rsidR="009F3AFA" w:rsidRDefault="009F3AFA" w:rsidP="00730B76">
      <w:pPr>
        <w:pStyle w:val="NoSpacing"/>
      </w:pPr>
      <w:r w:rsidRPr="009F3AFA">
        <w:t>A self-acting or actuated device that maintains a selected differential pressure across a defined part of the primary circuit. It stabilizes valve authority and flow control when network pressure varies. The controlled section and setpoint must be stated; a DPC does not by itself guarantee correct ΔT.</w:t>
      </w:r>
    </w:p>
    <w:p w14:paraId="14DE363A" w14:textId="77777777" w:rsidR="00D2018F" w:rsidRPr="009F3AFA" w:rsidRDefault="00D2018F" w:rsidP="00D2018F">
      <w:pPr>
        <w:pStyle w:val="Heading2"/>
      </w:pPr>
      <w:r w:rsidRPr="009F3AFA">
        <w:t>Pump</w:t>
      </w:r>
    </w:p>
    <w:p w14:paraId="1E96A900" w14:textId="58800D41" w:rsidR="00D2018F" w:rsidRPr="009F3AFA" w:rsidRDefault="00D2018F" w:rsidP="00D2018F">
      <w:pPr>
        <w:pStyle w:val="NoSpacing"/>
      </w:pPr>
      <w:r w:rsidRPr="009F3AFA">
        <w:t>A device that circulates fluid through a building-side or local primary circuit. Pumps should be selected and commissioned for the required duty and control mode; excessive pump head or uncontrolled constant-speed operation can increase electricity use, noise and hydraulic imbalance.</w:t>
      </w:r>
    </w:p>
    <w:p w14:paraId="38BC9D53" w14:textId="77777777" w:rsidR="009F3AFA" w:rsidRPr="009F3AFA" w:rsidRDefault="009F3AFA" w:rsidP="00CC553E">
      <w:pPr>
        <w:pStyle w:val="Heading2"/>
      </w:pPr>
      <w:r w:rsidRPr="009F3AFA">
        <w:t>Strainer / dirt separator</w:t>
      </w:r>
    </w:p>
    <w:p w14:paraId="36EC43B5" w14:textId="77777777" w:rsidR="009F3AFA" w:rsidRPr="009F3AFA" w:rsidRDefault="009F3AFA" w:rsidP="00730B76">
      <w:pPr>
        <w:pStyle w:val="NoSpacing"/>
      </w:pPr>
      <w:r w:rsidRPr="009F3AFA">
        <w:t>A device installed to capture debris, magnetite or suspended solids before they reach heat exchangers, control valves, pumps or meters. It must be accessible for cleaning and checked during commissioning because a blocked strainer can cause low flow, unstable control and loss of duty.</w:t>
      </w:r>
    </w:p>
    <w:p w14:paraId="382B6133" w14:textId="77777777" w:rsidR="009F3AFA" w:rsidRPr="009F3AFA" w:rsidRDefault="009F3AFA" w:rsidP="00CC553E">
      <w:pPr>
        <w:pStyle w:val="Heading2"/>
      </w:pPr>
      <w:proofErr w:type="gramStart"/>
      <w:r w:rsidRPr="009F3AFA">
        <w:t>Expansion</w:t>
      </w:r>
      <w:proofErr w:type="gramEnd"/>
      <w:r w:rsidRPr="009F3AFA">
        <w:t xml:space="preserve"> vessel and pressurization unit</w:t>
      </w:r>
    </w:p>
    <w:p w14:paraId="733CA2C9" w14:textId="77777777" w:rsidR="009F3AFA" w:rsidRPr="009F3AFA" w:rsidRDefault="009F3AFA" w:rsidP="00730B76">
      <w:pPr>
        <w:pStyle w:val="NoSpacing"/>
      </w:pPr>
      <w:r w:rsidRPr="009F3AFA">
        <w:t>Equipment that accommodates thermal expansion and maintains the required static pressure in a closed secondary circuit. Acceptance checks include pre-charge or operating pressure, vessel size, relief-path integrity and compatibility with system volume and temperature range.</w:t>
      </w:r>
    </w:p>
    <w:p w14:paraId="783E013C" w14:textId="77777777" w:rsidR="009F3AFA" w:rsidRPr="009F3AFA" w:rsidRDefault="009F3AFA" w:rsidP="00CC553E">
      <w:pPr>
        <w:pStyle w:val="Heading2"/>
      </w:pPr>
      <w:r w:rsidRPr="009F3AFA">
        <w:t>Safety valve / pressure relief valve</w:t>
      </w:r>
    </w:p>
    <w:p w14:paraId="344E9435" w14:textId="77777777" w:rsidR="00D2018F" w:rsidRDefault="009F3AFA" w:rsidP="00D2018F">
      <w:pPr>
        <w:pStyle w:val="NoSpacing"/>
      </w:pPr>
      <w:r w:rsidRPr="009F3AFA">
        <w:t xml:space="preserve">A pressure-activated safety device that discharges </w:t>
      </w:r>
      <w:proofErr w:type="gramStart"/>
      <w:r w:rsidRPr="009F3AFA">
        <w:t>fluid</w:t>
      </w:r>
      <w:proofErr w:type="gramEnd"/>
      <w:r w:rsidRPr="009F3AFA">
        <w:t xml:space="preserve"> when pressure exceeds its set value. It protects equipment from overpressure and must have the correct set pressure, capacity, orientation and safe discharge arrangement.</w:t>
      </w:r>
    </w:p>
    <w:p w14:paraId="6D347E1A" w14:textId="6BB5B0DA" w:rsidR="009F3AFA" w:rsidRPr="009F3AFA" w:rsidRDefault="00CB6F14" w:rsidP="00D2018F">
      <w:pPr>
        <w:pStyle w:val="Heading1"/>
      </w:pPr>
      <w:r w:rsidRPr="00CB6F14">
        <w:t>Main functions</w:t>
      </w:r>
    </w:p>
    <w:p w14:paraId="11D69C4A" w14:textId="77777777" w:rsidR="009F3AFA" w:rsidRPr="009F3AFA" w:rsidRDefault="009F3AFA" w:rsidP="00CC553E">
      <w:pPr>
        <w:pStyle w:val="Heading2"/>
      </w:pPr>
      <w:r w:rsidRPr="009F3AFA">
        <w:t>Instantaneous DHW production</w:t>
      </w:r>
    </w:p>
    <w:p w14:paraId="71368BA3" w14:textId="77777777" w:rsidR="009F3AFA" w:rsidRPr="009F3AFA" w:rsidRDefault="009F3AFA" w:rsidP="00730B76">
      <w:pPr>
        <w:pStyle w:val="NoSpacing"/>
      </w:pPr>
      <w:r w:rsidRPr="009F3AFA">
        <w:t xml:space="preserve">The preparation of domestic hot water </w:t>
      </w:r>
      <w:proofErr w:type="gramStart"/>
      <w:r w:rsidRPr="009F3AFA">
        <w:t>on</w:t>
      </w:r>
      <w:proofErr w:type="gramEnd"/>
      <w:r w:rsidRPr="009F3AFA">
        <w:t xml:space="preserve"> demand by transferring heat through a heat exchanger, without storing a significant volume of hot potable water in the HIU. It can reduce stored-water heat loss and the volume in which Legionella may multiply, but it requires adequate primary temperature, flow, exchanger capacity and control response at peak draw-off.</w:t>
      </w:r>
    </w:p>
    <w:p w14:paraId="5497D45D" w14:textId="77777777" w:rsidR="009F3AFA" w:rsidRPr="009F3AFA" w:rsidRDefault="009F3AFA" w:rsidP="00CC553E">
      <w:pPr>
        <w:pStyle w:val="Heading2"/>
      </w:pPr>
      <w:r w:rsidRPr="009F3AFA">
        <w:t>DHW priority control</w:t>
      </w:r>
    </w:p>
    <w:p w14:paraId="5FBAE034" w14:textId="77777777" w:rsidR="009F3AFA" w:rsidRPr="009F3AFA" w:rsidRDefault="009F3AFA" w:rsidP="00730B76">
      <w:pPr>
        <w:pStyle w:val="NoSpacing"/>
      </w:pPr>
      <w:r w:rsidRPr="009F3AFA">
        <w:t xml:space="preserve">A control strategy that temporarily gives domestic hot-water production priority over space heating when DHW demand occurs. It limits the required </w:t>
      </w:r>
      <w:proofErr w:type="gramStart"/>
      <w:r w:rsidRPr="009F3AFA">
        <w:t>coincident</w:t>
      </w:r>
      <w:proofErr w:type="gramEnd"/>
      <w:r w:rsidRPr="009F3AFA">
        <w:t xml:space="preserve"> peak capacity but must maintain acceptable comfort, stable DHW temperature and suitable primary return temperature.</w:t>
      </w:r>
    </w:p>
    <w:p w14:paraId="5245F203" w14:textId="77777777" w:rsidR="009F3AFA" w:rsidRPr="009F3AFA" w:rsidRDefault="009F3AFA" w:rsidP="00CC553E">
      <w:pPr>
        <w:pStyle w:val="Heading2"/>
      </w:pPr>
      <w:r w:rsidRPr="009F3AFA">
        <w:t>Keep-warm / standby function</w:t>
      </w:r>
    </w:p>
    <w:p w14:paraId="606231D5" w14:textId="77777777" w:rsidR="009F3AFA" w:rsidRPr="009F3AFA" w:rsidRDefault="009F3AFA" w:rsidP="00730B76">
      <w:pPr>
        <w:pStyle w:val="NoSpacing"/>
      </w:pPr>
      <w:r w:rsidRPr="009F3AFA">
        <w:t>A function that maintains part of an HIU, riser or primary branch at an elevated temperature to reduce DHW waiting time. It can improve service but increases heat loss and may raise return temperatures, so its temperature, schedule and control logic should be minimized and verified.</w:t>
      </w:r>
    </w:p>
    <w:p w14:paraId="321EA2EE" w14:textId="77777777" w:rsidR="009F3AFA" w:rsidRPr="009F3AFA" w:rsidRDefault="009F3AFA" w:rsidP="00CC553E">
      <w:pPr>
        <w:pStyle w:val="Heading2"/>
      </w:pPr>
      <w:r w:rsidRPr="009F3AFA">
        <w:t>Weather compensation</w:t>
      </w:r>
    </w:p>
    <w:p w14:paraId="5C5D432D" w14:textId="77777777" w:rsidR="009F3AFA" w:rsidRPr="009F3AFA" w:rsidRDefault="009F3AFA" w:rsidP="00730B76">
      <w:pPr>
        <w:pStyle w:val="NoSpacing"/>
      </w:pPr>
      <w:r w:rsidRPr="009F3AFA">
        <w:t>A control strategy that varies the secondary space-heating supply temperature according to outdoor temperature and, where applicable, other inputs. The objective is to meet comfort demand with the lowest practical flow temperature, supporting lower return temperatures and reduced heat loss.</w:t>
      </w:r>
    </w:p>
    <w:p w14:paraId="00E6F077" w14:textId="77777777" w:rsidR="009F3AFA" w:rsidRPr="009F3AFA" w:rsidRDefault="009F3AFA" w:rsidP="00CC553E">
      <w:pPr>
        <w:pStyle w:val="Heading2"/>
      </w:pPr>
      <w:r w:rsidRPr="009F3AFA">
        <w:t>Space-heating control curve</w:t>
      </w:r>
    </w:p>
    <w:p w14:paraId="36A3B3E9" w14:textId="77777777" w:rsidR="009F3AFA" w:rsidRPr="009F3AFA" w:rsidRDefault="009F3AFA" w:rsidP="00730B76">
      <w:pPr>
        <w:pStyle w:val="NoSpacing"/>
      </w:pPr>
      <w:r w:rsidRPr="009F3AFA">
        <w:t>The defined relationship between outdoor temperature and the target secondary heating supply temperature. During commissioning, the curve, limits and setbacks should be checked against the building design and terminal-unit requirements.</w:t>
      </w:r>
    </w:p>
    <w:p w14:paraId="4139D1B4" w14:textId="6754EF29" w:rsidR="009F3AFA" w:rsidRPr="009F3AFA" w:rsidRDefault="009F3AFA" w:rsidP="00CC553E">
      <w:pPr>
        <w:pStyle w:val="Heading1"/>
      </w:pPr>
      <w:r w:rsidRPr="009F3AFA">
        <w:lastRenderedPageBreak/>
        <w:t>Metering, sensing and monitoring</w:t>
      </w:r>
    </w:p>
    <w:p w14:paraId="622EC672" w14:textId="77777777" w:rsidR="009F3AFA" w:rsidRPr="009F3AFA" w:rsidRDefault="009F3AFA" w:rsidP="00CC553E">
      <w:pPr>
        <w:pStyle w:val="Heading2"/>
      </w:pPr>
      <w:r w:rsidRPr="009F3AFA">
        <w:t>Thermal energy meter / heat meter</w:t>
      </w:r>
    </w:p>
    <w:p w14:paraId="377FFE5F" w14:textId="75FA85EA" w:rsidR="009F3AFA" w:rsidRPr="009F3AFA" w:rsidRDefault="009F3AFA" w:rsidP="00730B76">
      <w:pPr>
        <w:pStyle w:val="NoSpacing"/>
      </w:pPr>
      <w:r w:rsidRPr="009F3AFA">
        <w:t xml:space="preserve">An instrument that determines transferred thermal energy from measured fluid flow and the temperature difference between paired temperature sensors. For billing, the meter and its installation must meet applicable legal-metrology requirements. In the EU, heat meters are covered by the </w:t>
      </w:r>
      <w:r w:rsidR="008F2A91" w:rsidRPr="008F2A91">
        <w:t>Directive 2014/32/EU, known as MID (Measuring Instruments Directive)</w:t>
      </w:r>
      <w:r w:rsidRPr="009F3AFA">
        <w:t xml:space="preserve">; the EN 1434 series </w:t>
      </w:r>
      <w:proofErr w:type="gramStart"/>
      <w:r w:rsidRPr="009F3AFA">
        <w:t>provides</w:t>
      </w:r>
      <w:proofErr w:type="gramEnd"/>
      <w:r w:rsidRPr="009F3AFA">
        <w:t xml:space="preserve"> relevant technical requirements.</w:t>
      </w:r>
    </w:p>
    <w:p w14:paraId="444E5F20" w14:textId="77777777" w:rsidR="009F3AFA" w:rsidRPr="009F3AFA" w:rsidRDefault="009F3AFA" w:rsidP="00CC553E">
      <w:pPr>
        <w:pStyle w:val="Heading2"/>
      </w:pPr>
      <w:r w:rsidRPr="009F3AFA">
        <w:t>Flow sensor</w:t>
      </w:r>
    </w:p>
    <w:p w14:paraId="0DA41596" w14:textId="77777777" w:rsidR="009F3AFA" w:rsidRPr="009F3AFA" w:rsidRDefault="009F3AFA" w:rsidP="00730B76">
      <w:pPr>
        <w:pStyle w:val="NoSpacing"/>
      </w:pPr>
      <w:r w:rsidRPr="009F3AFA">
        <w:t>The meter component that measures the volume or mass of heat-transfer fluid passing through the circuit. Correct direction, orientation, straight-length requirements where applicable, fluid condition and absence of air are important for accurate measurement.</w:t>
      </w:r>
    </w:p>
    <w:p w14:paraId="6ADCCF7D" w14:textId="77777777" w:rsidR="009F3AFA" w:rsidRPr="009F3AFA" w:rsidRDefault="009F3AFA" w:rsidP="00CC553E">
      <w:pPr>
        <w:pStyle w:val="Heading2"/>
      </w:pPr>
      <w:r w:rsidRPr="009F3AFA">
        <w:t>Matched temperature-sensor pair</w:t>
      </w:r>
    </w:p>
    <w:p w14:paraId="3410F0DD" w14:textId="77777777" w:rsidR="009F3AFA" w:rsidRPr="009F3AFA" w:rsidRDefault="009F3AFA" w:rsidP="00730B76">
      <w:pPr>
        <w:pStyle w:val="NoSpacing"/>
      </w:pPr>
      <w:r w:rsidRPr="009F3AFA">
        <w:t>Two temperature sensors selected and characterized as a pair to measure supply and return temperatures for a thermal energy meter. They must be installed in the correct locations and fully inserted or mounted as specified; swapping, uneven immersion or poor thermal contact can create significant energy-measurement error.</w:t>
      </w:r>
    </w:p>
    <w:p w14:paraId="6D8B5CA3" w14:textId="77777777" w:rsidR="009F3AFA" w:rsidRPr="009F3AFA" w:rsidRDefault="009F3AFA" w:rsidP="00CC553E">
      <w:pPr>
        <w:pStyle w:val="Heading2"/>
      </w:pPr>
      <w:r w:rsidRPr="009F3AFA">
        <w:t>Metering installation verification</w:t>
      </w:r>
    </w:p>
    <w:p w14:paraId="166DD526" w14:textId="77777777" w:rsidR="009F3AFA" w:rsidRPr="009F3AFA" w:rsidRDefault="009F3AFA" w:rsidP="00730B76">
      <w:pPr>
        <w:pStyle w:val="NoSpacing"/>
      </w:pPr>
      <w:r w:rsidRPr="009F3AFA">
        <w:t>A check that the correct approved meter is installed in the specified position and direction, with matched sensors, intact seals, correct configuration, communications and readable identifiers. Routine site acceptance normally verifies installation and plausibility rather than recalibrating a legally certified meter.</w:t>
      </w:r>
    </w:p>
    <w:p w14:paraId="14D36F97" w14:textId="77777777" w:rsidR="00E76009" w:rsidRPr="00BB1315" w:rsidRDefault="00E76009" w:rsidP="00E76009">
      <w:pPr>
        <w:pStyle w:val="Heading2"/>
      </w:pPr>
      <w:r w:rsidRPr="00BB1315">
        <w:t>Sensor accuracy, calibration and measurement uncertainty</w:t>
      </w:r>
    </w:p>
    <w:p w14:paraId="0E6CB293" w14:textId="77777777" w:rsidR="00E76009" w:rsidRPr="00BB1315" w:rsidRDefault="00E76009" w:rsidP="00E76009">
      <w:pPr>
        <w:pStyle w:val="NoSpacing"/>
      </w:pPr>
      <w:r w:rsidRPr="00BB1315">
        <w:t>Accuracy describes closeness to the true value under stated conditions; calibration establishes the relationship between indicated and reference values. Overall uncertainty includes sensor error, installation effects, flow profile, temperature-sensor pairing, time alignment and data processing. Small delta-T measurements can have high relative uncertainty, so KPI thresholds must be compatible with the metering system’s capability.</w:t>
      </w:r>
    </w:p>
    <w:p w14:paraId="7B0B6626" w14:textId="77777777" w:rsidR="00E76009" w:rsidRPr="00BB1315" w:rsidRDefault="00E76009" w:rsidP="00E76009">
      <w:pPr>
        <w:pStyle w:val="Heading2"/>
      </w:pPr>
      <w:r w:rsidRPr="00BB1315">
        <w:t xml:space="preserve">Sampling interval and time </w:t>
      </w:r>
      <w:proofErr w:type="spellStart"/>
      <w:r w:rsidRPr="00BB1315">
        <w:t>synchronisation</w:t>
      </w:r>
      <w:proofErr w:type="spellEnd"/>
    </w:p>
    <w:p w14:paraId="7F5ABB35" w14:textId="77777777" w:rsidR="00E76009" w:rsidRPr="00BB1315" w:rsidRDefault="00E76009" w:rsidP="00E76009">
      <w:pPr>
        <w:pStyle w:val="NoSpacing"/>
      </w:pPr>
      <w:r w:rsidRPr="00BB1315">
        <w:t xml:space="preserve">The frequency at which values are measured, recorded or transmitted, together with the alignment of device clocks. Averages that are too coarse can hide cycling, short outages, flow spikes and control instability. </w:t>
      </w:r>
      <w:proofErr w:type="spellStart"/>
      <w:r w:rsidRPr="00BB1315">
        <w:t>Unsynchronised</w:t>
      </w:r>
      <w:proofErr w:type="spellEnd"/>
      <w:r w:rsidRPr="00BB1315">
        <w:t xml:space="preserve"> flow, temperature and electrical data can create false energy balances, especially during rapid changes.</w:t>
      </w:r>
    </w:p>
    <w:p w14:paraId="56CCE6C0" w14:textId="77777777" w:rsidR="00E76009" w:rsidRPr="00BB1315" w:rsidRDefault="00E76009" w:rsidP="00E76009">
      <w:pPr>
        <w:pStyle w:val="Heading2"/>
      </w:pPr>
      <w:r w:rsidRPr="00BB1315">
        <w:t>Data quality, completeness and validation</w:t>
      </w:r>
    </w:p>
    <w:p w14:paraId="0DBD2F64" w14:textId="77777777" w:rsidR="00E76009" w:rsidRPr="00BB1315" w:rsidRDefault="00E76009" w:rsidP="00E76009">
      <w:pPr>
        <w:pStyle w:val="NoSpacing"/>
      </w:pPr>
      <w:r w:rsidRPr="00BB1315">
        <w:t>Processes used to identify missing, duplicated, frozen, out-of-range or physically inconsistent data. Validation may use sensor cross-checks, energy balances, equipment-state logic and comparison with redundant measurements. Data correction or gap filling should be traceable and should not silently convert estimates into measured performance.</w:t>
      </w:r>
    </w:p>
    <w:p w14:paraId="2DCFC86D" w14:textId="77777777" w:rsidR="00E76009" w:rsidRPr="00BB1315" w:rsidRDefault="00E76009" w:rsidP="00E76009">
      <w:pPr>
        <w:pStyle w:val="Heading2"/>
      </w:pPr>
      <w:r w:rsidRPr="00BB1315">
        <w:t>Alarm and event logging</w:t>
      </w:r>
    </w:p>
    <w:p w14:paraId="1748C0D0" w14:textId="77777777" w:rsidR="00E76009" w:rsidRPr="00BB1315" w:rsidRDefault="00E76009" w:rsidP="00E76009">
      <w:pPr>
        <w:pStyle w:val="NoSpacing"/>
      </w:pPr>
      <w:r w:rsidRPr="00BB1315">
        <w:t>Time-stamped recording of abnormal conditions, operator actions, equipment starts, trips, setpoint changes and communication failures. Useful alarms should have defined thresholds, delays, priorities, acknowledgement rules and response procedures. Excessive nuisance alarms can obscure critical faults and reduce operational effectiveness.</w:t>
      </w:r>
    </w:p>
    <w:p w14:paraId="6393AC09" w14:textId="60F28764" w:rsidR="009F3AFA" w:rsidRPr="009F3AFA" w:rsidRDefault="00EA432A" w:rsidP="00D2018F">
      <w:pPr>
        <w:pStyle w:val="Heading1"/>
      </w:pPr>
      <w:r>
        <w:br w:type="column"/>
      </w:r>
      <w:r w:rsidR="009F3AFA" w:rsidRPr="009F3AFA">
        <w:lastRenderedPageBreak/>
        <w:t xml:space="preserve">Commissioning and acceptance </w:t>
      </w:r>
      <w:r w:rsidR="009F3AFA" w:rsidRPr="00D2018F">
        <w:t>checks</w:t>
      </w:r>
    </w:p>
    <w:p w14:paraId="333BB135" w14:textId="77777777" w:rsidR="009F3AFA" w:rsidRPr="009F3AFA" w:rsidRDefault="009F3AFA" w:rsidP="00CC553E">
      <w:pPr>
        <w:pStyle w:val="Heading2"/>
      </w:pPr>
      <w:r w:rsidRPr="009F3AFA">
        <w:t>Pre-commissioning</w:t>
      </w:r>
    </w:p>
    <w:p w14:paraId="140A133A" w14:textId="77777777" w:rsidR="009F3AFA" w:rsidRPr="009F3AFA" w:rsidRDefault="009F3AFA" w:rsidP="00730B76">
      <w:pPr>
        <w:pStyle w:val="NoSpacing"/>
      </w:pPr>
      <w:r w:rsidRPr="009F3AFA">
        <w:t>Preparatory work completed before functional commissioning, including inspection, cleaning and flushing, pressure testing, water-quality confirmation, electrical checks, completion of records and confirmation that the system is safe and ready to operate.</w:t>
      </w:r>
    </w:p>
    <w:p w14:paraId="61904ACC" w14:textId="77777777" w:rsidR="009F3AFA" w:rsidRPr="009F3AFA" w:rsidRDefault="009F3AFA" w:rsidP="00CC553E">
      <w:pPr>
        <w:pStyle w:val="Heading2"/>
      </w:pPr>
      <w:r w:rsidRPr="009F3AFA">
        <w:t>Commissioning</w:t>
      </w:r>
    </w:p>
    <w:p w14:paraId="13BCA195" w14:textId="0452361C" w:rsidR="00E76009" w:rsidRDefault="009F3AFA" w:rsidP="00EA432A">
      <w:pPr>
        <w:pStyle w:val="NoSpacing"/>
      </w:pPr>
      <w:r w:rsidRPr="009F3AFA">
        <w:t>The planned process of setting to work, adjusting, testing and documenting an HIU or substation so that it performs in accordance with the approved design and operating requirements. Commissioning includes static checks, functional testing, balancing, control tuning, performance tests and recording of final settings.</w:t>
      </w:r>
    </w:p>
    <w:p w14:paraId="429A16E4" w14:textId="1BFEA996" w:rsidR="009F3AFA" w:rsidRPr="009F3AFA" w:rsidRDefault="009F3AFA" w:rsidP="00CC553E">
      <w:pPr>
        <w:pStyle w:val="Heading2"/>
      </w:pPr>
      <w:r w:rsidRPr="009F3AFA">
        <w:t>Acceptance testing / acceptance check</w:t>
      </w:r>
    </w:p>
    <w:p w14:paraId="2C6CF362" w14:textId="77777777" w:rsidR="009F3AFA" w:rsidRPr="009F3AFA" w:rsidRDefault="009F3AFA" w:rsidP="00730B76">
      <w:pPr>
        <w:pStyle w:val="NoSpacing"/>
      </w:pPr>
      <w:r w:rsidRPr="009F3AFA">
        <w:t xml:space="preserve">The documented verification </w:t>
      </w:r>
      <w:proofErr w:type="gramStart"/>
      <w:r w:rsidRPr="009F3AFA">
        <w:t>used</w:t>
      </w:r>
      <w:proofErr w:type="gramEnd"/>
      <w:r w:rsidRPr="009F3AFA">
        <w:t xml:space="preserve"> by the client, owner or network operator to decide whether the installed interface complies with the contract, approved design, applicable regulations and agreed performance criteria. Acceptance may include witnessed commissioning results, inspections, document review and closure of defects.</w:t>
      </w:r>
    </w:p>
    <w:p w14:paraId="6AC1C62C" w14:textId="77777777" w:rsidR="009F3AFA" w:rsidRPr="009F3AFA" w:rsidRDefault="009F3AFA" w:rsidP="00CC553E">
      <w:pPr>
        <w:pStyle w:val="Heading2"/>
      </w:pPr>
      <w:r w:rsidRPr="009F3AFA">
        <w:t>Inspection and installation check</w:t>
      </w:r>
    </w:p>
    <w:p w14:paraId="26DC8271" w14:textId="77777777" w:rsidR="009F3AFA" w:rsidRPr="009F3AFA" w:rsidRDefault="009F3AFA" w:rsidP="00730B76">
      <w:pPr>
        <w:pStyle w:val="NoSpacing"/>
      </w:pPr>
      <w:r w:rsidRPr="009F3AFA">
        <w:t>A visual and documentary check confirming correct equipment, orientation, accessibility, supports, insulation, labels, valves, drains, vents, sensor locations, electrical connections and conformity with approved drawings and manufacturer instructions.</w:t>
      </w:r>
    </w:p>
    <w:p w14:paraId="7484F793" w14:textId="77777777" w:rsidR="009F3AFA" w:rsidRPr="009F3AFA" w:rsidRDefault="009F3AFA" w:rsidP="00CC553E">
      <w:pPr>
        <w:pStyle w:val="Heading2"/>
      </w:pPr>
      <w:r w:rsidRPr="009F3AFA">
        <w:t>Pressure test / strength and tightness test</w:t>
      </w:r>
    </w:p>
    <w:p w14:paraId="2C1AAA08" w14:textId="77777777" w:rsidR="009F3AFA" w:rsidRPr="009F3AFA" w:rsidRDefault="009F3AFA" w:rsidP="00730B76">
      <w:pPr>
        <w:pStyle w:val="NoSpacing"/>
      </w:pPr>
      <w:r w:rsidRPr="009F3AFA">
        <w:t xml:space="preserve">A controlled test confirming that specified circuits and joints can withstand the prescribed test pressure and are </w:t>
      </w:r>
      <w:proofErr w:type="gramStart"/>
      <w:r w:rsidRPr="009F3AFA">
        <w:t>leak-tight</w:t>
      </w:r>
      <w:proofErr w:type="gramEnd"/>
      <w:r w:rsidRPr="009F3AFA">
        <w:t>. The medium, pressure, duration, exclusions, temperature allowance and acceptance criteria must follow the applicable code, specification and equipment limits; pressure should not be applied indiscriminately above normal operating pressure.</w:t>
      </w:r>
    </w:p>
    <w:p w14:paraId="15F9B07A" w14:textId="77777777" w:rsidR="009F3AFA" w:rsidRPr="009F3AFA" w:rsidRDefault="009F3AFA" w:rsidP="00CC553E">
      <w:pPr>
        <w:pStyle w:val="Heading2"/>
      </w:pPr>
      <w:r w:rsidRPr="009F3AFA">
        <w:t>Flushing and cleanliness verification</w:t>
      </w:r>
    </w:p>
    <w:p w14:paraId="26F3FB4F" w14:textId="77777777" w:rsidR="009F3AFA" w:rsidRPr="009F3AFA" w:rsidRDefault="009F3AFA" w:rsidP="00730B76">
      <w:pPr>
        <w:pStyle w:val="NoSpacing"/>
      </w:pPr>
      <w:r w:rsidRPr="009F3AFA">
        <w:t>The controlled circulation and discharge of fluid to remove installation debris and contaminants, followed by evidence that cleanliness meets the project specification. The method should protect sensitive components and may require temporary bypasses, high-velocity flushing, strainer inspection or sampling.</w:t>
      </w:r>
    </w:p>
    <w:p w14:paraId="78FCC802" w14:textId="77777777" w:rsidR="009F3AFA" w:rsidRPr="009F3AFA" w:rsidRDefault="009F3AFA" w:rsidP="00CC553E">
      <w:pPr>
        <w:pStyle w:val="Heading2"/>
      </w:pPr>
      <w:r w:rsidRPr="009F3AFA">
        <w:t>Water-quality verification</w:t>
      </w:r>
    </w:p>
    <w:p w14:paraId="1491EB6A" w14:textId="77777777" w:rsidR="009F3AFA" w:rsidRPr="009F3AFA" w:rsidRDefault="009F3AFA" w:rsidP="00730B76">
      <w:pPr>
        <w:pStyle w:val="NoSpacing"/>
      </w:pPr>
      <w:r w:rsidRPr="009F3AFA">
        <w:t xml:space="preserve">Testing and documentation showing that network and secondary-circuit water </w:t>
      </w:r>
      <w:proofErr w:type="gramStart"/>
      <w:r w:rsidRPr="009F3AFA">
        <w:t>meets</w:t>
      </w:r>
      <w:proofErr w:type="gramEnd"/>
      <w:r w:rsidRPr="009F3AFA">
        <w:t xml:space="preserve"> the relevant operator, manufacturer and water-treatment requirements. Parameters depend on materials and system type and may include pH, conductivity, hardness, dissolved oxygen, inhibitor concentration, microbiological condition and suspended solids; a universal checklist is not appropriate for every system.</w:t>
      </w:r>
    </w:p>
    <w:p w14:paraId="3D01108F" w14:textId="579316E1" w:rsidR="009F3AFA" w:rsidRPr="009F3AFA" w:rsidRDefault="009F3AFA" w:rsidP="00CC553E">
      <w:pPr>
        <w:pStyle w:val="Heading2"/>
      </w:pPr>
      <w:r w:rsidRPr="009F3AFA">
        <w:t>Functional performance test</w:t>
      </w:r>
    </w:p>
    <w:p w14:paraId="6CE509A0" w14:textId="77777777" w:rsidR="009F3AFA" w:rsidRPr="009F3AFA" w:rsidRDefault="009F3AFA" w:rsidP="00730B76">
      <w:pPr>
        <w:pStyle w:val="NoSpacing"/>
      </w:pPr>
      <w:r w:rsidRPr="009F3AFA">
        <w:t xml:space="preserve">A structured test </w:t>
      </w:r>
      <w:proofErr w:type="gramStart"/>
      <w:r w:rsidRPr="009F3AFA">
        <w:t>demonstrating</w:t>
      </w:r>
      <w:proofErr w:type="gramEnd"/>
      <w:r w:rsidRPr="009F3AFA">
        <w:t xml:space="preserve"> that equipment and controls perform their intended functions through </w:t>
      </w:r>
      <w:proofErr w:type="gramStart"/>
      <w:r w:rsidRPr="009F3AFA">
        <w:t>normal,</w:t>
      </w:r>
      <w:proofErr w:type="gramEnd"/>
      <w:r w:rsidRPr="009F3AFA">
        <w:t xml:space="preserve"> part-load, transition, fault and recovery conditions. For an HIU or substation this can include valve modulation, DHW priority, temperature control, pump sequencing, weather compensation, flow limiting, alarms, communications and fail-safe behavior.</w:t>
      </w:r>
    </w:p>
    <w:p w14:paraId="29AF2A80" w14:textId="77777777" w:rsidR="009F3AFA" w:rsidRPr="009F3AFA" w:rsidRDefault="009F3AFA" w:rsidP="00CC553E">
      <w:pPr>
        <w:pStyle w:val="Heading2"/>
      </w:pPr>
      <w:r w:rsidRPr="009F3AFA">
        <w:t>Heat-duty and capacity test</w:t>
      </w:r>
    </w:p>
    <w:p w14:paraId="3FFE2F37" w14:textId="77777777" w:rsidR="009F3AFA" w:rsidRPr="009F3AFA" w:rsidRDefault="009F3AFA" w:rsidP="00730B76">
      <w:pPr>
        <w:pStyle w:val="NoSpacing"/>
      </w:pPr>
      <w:r w:rsidRPr="009F3AFA">
        <w:t xml:space="preserve">A performance test confirming that the interface can deliver the specified heating, DHW or cooling duty at the stated primary and secondary temperatures, flow conditions and differential pressure. Results should be compared with agreed </w:t>
      </w:r>
      <w:proofErr w:type="gramStart"/>
      <w:r w:rsidRPr="009F3AFA">
        <w:t>tolerances</w:t>
      </w:r>
      <w:proofErr w:type="gramEnd"/>
      <w:r w:rsidRPr="009F3AFA">
        <w:t xml:space="preserve"> and corrected for test conditions where necessary.</w:t>
      </w:r>
    </w:p>
    <w:p w14:paraId="000A26BF" w14:textId="77777777" w:rsidR="00EA432A" w:rsidRDefault="00EA432A" w:rsidP="00CC553E">
      <w:pPr>
        <w:pStyle w:val="Heading2"/>
      </w:pPr>
    </w:p>
    <w:p w14:paraId="15662C19" w14:textId="53410282" w:rsidR="009F3AFA" w:rsidRPr="009F3AFA" w:rsidRDefault="009F3AFA" w:rsidP="00CC553E">
      <w:pPr>
        <w:pStyle w:val="Heading2"/>
      </w:pPr>
      <w:r w:rsidRPr="009F3AFA">
        <w:lastRenderedPageBreak/>
        <w:t>Return-temperature / design-ΔT verification</w:t>
      </w:r>
    </w:p>
    <w:p w14:paraId="0BB669C4" w14:textId="77777777" w:rsidR="009F3AFA" w:rsidRPr="009F3AFA" w:rsidRDefault="009F3AFA" w:rsidP="00730B76">
      <w:pPr>
        <w:pStyle w:val="NoSpacing"/>
      </w:pPr>
      <w:r w:rsidRPr="009F3AFA">
        <w:t>A test or monitored assessment confirming that the primary return temperature or ΔT meets the specified target in each relevant operating mode and over defined load conditions. Testing only at a single design point is usually insufficient; DHW, space-heating, standby and part-load behavior should be considered.</w:t>
      </w:r>
    </w:p>
    <w:p w14:paraId="70043DE5" w14:textId="77777777" w:rsidR="009F3AFA" w:rsidRPr="009F3AFA" w:rsidRDefault="009F3AFA" w:rsidP="00CC553E">
      <w:pPr>
        <w:pStyle w:val="Heading2"/>
      </w:pPr>
      <w:r w:rsidRPr="009F3AFA">
        <w:t>Control stability and response test</w:t>
      </w:r>
    </w:p>
    <w:p w14:paraId="6DC77525" w14:textId="77777777" w:rsidR="009F3AFA" w:rsidRPr="009F3AFA" w:rsidRDefault="009F3AFA" w:rsidP="00730B76">
      <w:pPr>
        <w:pStyle w:val="NoSpacing"/>
      </w:pPr>
      <w:r w:rsidRPr="009F3AFA">
        <w:t>A test of the ability of the control system to reach and maintain setpoints without unacceptable oscillation, overshoot or delay when demand or network conditions change. It is particularly important for instantaneous DHW and modulating primary valves.</w:t>
      </w:r>
    </w:p>
    <w:p w14:paraId="17E60F7E" w14:textId="77777777" w:rsidR="009F3AFA" w:rsidRPr="009F3AFA" w:rsidRDefault="009F3AFA" w:rsidP="00CC553E">
      <w:pPr>
        <w:pStyle w:val="Heading2"/>
      </w:pPr>
      <w:r w:rsidRPr="009F3AFA">
        <w:t>DHW hygiene and safety compliance check</w:t>
      </w:r>
    </w:p>
    <w:p w14:paraId="6FED22C5" w14:textId="77777777" w:rsidR="009F3AFA" w:rsidRPr="009F3AFA" w:rsidRDefault="009F3AFA" w:rsidP="00730B76">
      <w:pPr>
        <w:pStyle w:val="NoSpacing"/>
      </w:pPr>
      <w:r w:rsidRPr="009F3AFA">
        <w:t>Verification that the complete potable-water design, temperatures, volumes, flushing arrangements and operating strategy comply with the applicable local hygiene and scald-protection requirements. Instantaneous production reduces stored hot-water volume but does not by itself remove all microbiological risk, and no single universal temperature threshold should be assumed.</w:t>
      </w:r>
    </w:p>
    <w:p w14:paraId="775BE323" w14:textId="77777777" w:rsidR="009F3AFA" w:rsidRPr="009F3AFA" w:rsidRDefault="009F3AFA" w:rsidP="00CC553E">
      <w:pPr>
        <w:pStyle w:val="Heading2"/>
      </w:pPr>
      <w:r w:rsidRPr="009F3AFA">
        <w:t>Electrical safety and control-panel check</w:t>
      </w:r>
    </w:p>
    <w:p w14:paraId="1B25B46C" w14:textId="77777777" w:rsidR="009F3AFA" w:rsidRPr="009F3AFA" w:rsidRDefault="009F3AFA" w:rsidP="00730B76">
      <w:pPr>
        <w:pStyle w:val="NoSpacing"/>
      </w:pPr>
      <w:r w:rsidRPr="009F3AFA">
        <w:t>Verification of protective devices, earthing, isolation, wiring, enclosure, emergency functions, controller configuration and electrical test records in accordance with applicable regulations and manufacturer requirements.</w:t>
      </w:r>
    </w:p>
    <w:p w14:paraId="10874CB5" w14:textId="77777777" w:rsidR="009F3AFA" w:rsidRPr="009F3AFA" w:rsidRDefault="009F3AFA" w:rsidP="00CC553E">
      <w:pPr>
        <w:pStyle w:val="Heading2"/>
      </w:pPr>
      <w:r w:rsidRPr="009F3AFA">
        <w:t>Noise and vibration check</w:t>
      </w:r>
    </w:p>
    <w:p w14:paraId="31967B72" w14:textId="77777777" w:rsidR="009F3AFA" w:rsidRPr="009F3AFA" w:rsidRDefault="009F3AFA" w:rsidP="00730B76">
      <w:pPr>
        <w:pStyle w:val="NoSpacing"/>
      </w:pPr>
      <w:r w:rsidRPr="009F3AFA">
        <w:t>An inspection and, where required, measurement confirming that pumps, valves, pipework and the packaged unit do not produce unacceptable airborne or structure-borne noise under representative operating conditions. The test should use the project’s stated acoustic criteria and locations.</w:t>
      </w:r>
    </w:p>
    <w:p w14:paraId="750A8706" w14:textId="77777777" w:rsidR="009F3AFA" w:rsidRPr="009F3AFA" w:rsidRDefault="009F3AFA" w:rsidP="00CC553E">
      <w:pPr>
        <w:pStyle w:val="Heading2"/>
      </w:pPr>
      <w:r w:rsidRPr="009F3AFA">
        <w:t>Point-to-point and communications test</w:t>
      </w:r>
    </w:p>
    <w:p w14:paraId="2FEADD61" w14:textId="77777777" w:rsidR="009F3AFA" w:rsidRPr="009F3AFA" w:rsidRDefault="009F3AFA" w:rsidP="00730B76">
      <w:pPr>
        <w:pStyle w:val="NoSpacing"/>
      </w:pPr>
      <w:r w:rsidRPr="009F3AFA">
        <w:t>A check that each physical and digital input/output is correctly mapped between field devices, the local controller, BMS and remote monitoring platform. Commands, values, units, alarms, time stamps and communication-loss responses are verified.</w:t>
      </w:r>
    </w:p>
    <w:p w14:paraId="603B90CD" w14:textId="77777777" w:rsidR="009F3AFA" w:rsidRPr="009F3AFA" w:rsidRDefault="009F3AFA" w:rsidP="00CC553E">
      <w:pPr>
        <w:pStyle w:val="Heading2"/>
      </w:pPr>
      <w:r w:rsidRPr="009F3AFA">
        <w:t>Witness test</w:t>
      </w:r>
    </w:p>
    <w:p w14:paraId="682EFC03" w14:textId="77777777" w:rsidR="009F3AFA" w:rsidRPr="009F3AFA" w:rsidRDefault="009F3AFA" w:rsidP="00730B76">
      <w:pPr>
        <w:pStyle w:val="NoSpacing"/>
      </w:pPr>
      <w:r w:rsidRPr="009F3AFA">
        <w:t>A commissioning or performance test observed by an authorized representative of the client, owner, network operator or independent assessor. Witnessing confirms that the agreed procedure was followed but does not transfer responsibility for the contractor’s work.</w:t>
      </w:r>
    </w:p>
    <w:p w14:paraId="6D86DC60" w14:textId="77777777" w:rsidR="009F3AFA" w:rsidRPr="009F3AFA" w:rsidRDefault="009F3AFA" w:rsidP="00CC553E">
      <w:pPr>
        <w:pStyle w:val="Heading2"/>
      </w:pPr>
      <w:r w:rsidRPr="009F3AFA">
        <w:t>Defect / snagging list</w:t>
      </w:r>
    </w:p>
    <w:p w14:paraId="69C12E2E" w14:textId="77777777" w:rsidR="009F3AFA" w:rsidRPr="009F3AFA" w:rsidRDefault="009F3AFA" w:rsidP="00730B76">
      <w:pPr>
        <w:pStyle w:val="NoSpacing"/>
      </w:pPr>
      <w:r w:rsidRPr="009F3AFA">
        <w:t>A controlled record of incomplete, damaged or non-compliant items identified during inspection and testing, including responsibility, required action, priority and closure evidence. Safety-critical or performance-critical defects should be closed before acceptance.</w:t>
      </w:r>
    </w:p>
    <w:p w14:paraId="33159CB6" w14:textId="77777777" w:rsidR="009F3AFA" w:rsidRPr="009F3AFA" w:rsidRDefault="009F3AFA" w:rsidP="00CC553E">
      <w:pPr>
        <w:pStyle w:val="Heading2"/>
      </w:pPr>
      <w:r w:rsidRPr="009F3AFA">
        <w:t>As-built documentation and handover pack</w:t>
      </w:r>
    </w:p>
    <w:p w14:paraId="5F29D193" w14:textId="77777777" w:rsidR="009F3AFA" w:rsidRPr="009F3AFA" w:rsidRDefault="009F3AFA" w:rsidP="00730B76">
      <w:pPr>
        <w:pStyle w:val="NoSpacing"/>
      </w:pPr>
      <w:r w:rsidRPr="009F3AFA">
        <w:t xml:space="preserve">The verified record set provided at handover, normally </w:t>
      </w:r>
      <w:proofErr w:type="gramStart"/>
      <w:r w:rsidRPr="009F3AFA">
        <w:t>including</w:t>
      </w:r>
      <w:proofErr w:type="gramEnd"/>
      <w:r w:rsidRPr="009F3AFA">
        <w:t xml:space="preserve"> as-built drawings and schematics, equipment schedules, certificates, pressure and flushing records, water-quality results, commissioning sheets, meter details, final setpoints, control descriptions, software backups, alarm lists, operating manuals, maintenance requirements, warranties and training records.</w:t>
      </w:r>
    </w:p>
    <w:p w14:paraId="6259DDF9" w14:textId="77777777" w:rsidR="009F3AFA" w:rsidRPr="009F3AFA" w:rsidRDefault="009F3AFA" w:rsidP="00CC553E">
      <w:pPr>
        <w:pStyle w:val="Heading2"/>
      </w:pPr>
      <w:r w:rsidRPr="009F3AFA">
        <w:t>Seasonal commissioning / post-occupancy verification</w:t>
      </w:r>
    </w:p>
    <w:p w14:paraId="0511E807" w14:textId="5392F362" w:rsidR="00E76009" w:rsidRPr="00BB1315" w:rsidRDefault="009F3AFA" w:rsidP="00E76009">
      <w:pPr>
        <w:pStyle w:val="NoSpacing"/>
      </w:pPr>
      <w:r w:rsidRPr="009F3AFA">
        <w:t>Follow-up testing and optimization after handover when representative seasonal loads and occupancy are available. It confirms heating-curve settings, return-temperature performance, control schedules and user outcomes that could not be fully demonstrated during initial acceptance.</w:t>
      </w:r>
    </w:p>
    <w:p w14:paraId="3BC42172" w14:textId="77777777" w:rsidR="009F3AFA" w:rsidRPr="009F3AFA" w:rsidRDefault="009F3AFA" w:rsidP="00CF51A9">
      <w:pPr>
        <w:rPr>
          <w:lang w:val="en-US" w:eastAsia="lv-LV"/>
        </w:rPr>
      </w:pPr>
    </w:p>
    <w:p w14:paraId="17DD0640" w14:textId="75503975" w:rsidR="00F20775" w:rsidRPr="009F3AFA" w:rsidRDefault="00F20775" w:rsidP="00095C22">
      <w:pPr>
        <w:rPr>
          <w:lang w:val="en-US" w:eastAsia="lv-LV"/>
        </w:rPr>
      </w:pPr>
    </w:p>
    <w:sectPr w:rsidR="00F20775" w:rsidRPr="009F3AFA" w:rsidSect="00AC3070">
      <w:headerReference w:type="default" r:id="rId7"/>
      <w:footerReference w:type="default" r:id="rId8"/>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B154C7" w14:textId="77777777" w:rsidR="00466E2F" w:rsidRDefault="00466E2F" w:rsidP="00AC3070">
      <w:pPr>
        <w:spacing w:line="240" w:lineRule="auto"/>
      </w:pPr>
      <w:r>
        <w:separator/>
      </w:r>
    </w:p>
  </w:endnote>
  <w:endnote w:type="continuationSeparator" w:id="0">
    <w:p w14:paraId="45E2FCCC" w14:textId="77777777" w:rsidR="00466E2F" w:rsidRDefault="00466E2F" w:rsidP="00AC307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2B316" w14:textId="24D327E2" w:rsidR="009F3AFA" w:rsidRPr="009F3AFA" w:rsidRDefault="00000000" w:rsidP="009F3AFA">
    <w:pPr>
      <w:pStyle w:val="Footer"/>
      <w:jc w:val="right"/>
      <w:rPr>
        <w:lang w:val="en-US"/>
      </w:rPr>
    </w:pPr>
    <w:sdt>
      <w:sdtPr>
        <w:id w:val="-662635125"/>
        <w:docPartObj>
          <w:docPartGallery w:val="Page Numbers (Bottom of Page)"/>
          <w:docPartUnique/>
        </w:docPartObj>
      </w:sdtPr>
      <w:sdtContent>
        <w:r w:rsidR="009F3AFA">
          <w:fldChar w:fldCharType="begin"/>
        </w:r>
        <w:r w:rsidR="009F3AFA">
          <w:instrText>PAGE   \* MERGEFORMAT</w:instrText>
        </w:r>
        <w:r w:rsidR="009F3AFA">
          <w:fldChar w:fldCharType="separate"/>
        </w:r>
        <w:r w:rsidR="009F3AFA">
          <w:rPr>
            <w:lang w:val="de-DE"/>
          </w:rPr>
          <w:t>2</w:t>
        </w:r>
        <w:r w:rsidR="009F3AFA">
          <w:fldChar w:fldCharType="end"/>
        </w:r>
      </w:sdtContent>
    </w:sdt>
    <w:r w:rsidR="009F3AFA">
      <w:tab/>
    </w:r>
    <w:proofErr w:type="spellStart"/>
    <w:r w:rsidR="009F3AFA">
      <w:rPr>
        <w:lang w:val="en-US"/>
      </w:rPr>
      <w:t>RepowerRegions</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46A780" w14:textId="77777777" w:rsidR="00466E2F" w:rsidRDefault="00466E2F" w:rsidP="00AC3070">
      <w:pPr>
        <w:spacing w:line="240" w:lineRule="auto"/>
      </w:pPr>
      <w:r>
        <w:separator/>
      </w:r>
    </w:p>
  </w:footnote>
  <w:footnote w:type="continuationSeparator" w:id="0">
    <w:p w14:paraId="2742F927" w14:textId="77777777" w:rsidR="00466E2F" w:rsidRDefault="00466E2F" w:rsidP="00AC307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6A6B3" w14:textId="22739850" w:rsidR="00997DC8" w:rsidRDefault="00AC3070" w:rsidP="00997DC8">
    <w:pPr>
      <w:tabs>
        <w:tab w:val="right" w:pos="9638"/>
      </w:tabs>
      <w:spacing w:line="240" w:lineRule="auto"/>
      <w:jc w:val="left"/>
      <w:rPr>
        <w:rFonts w:eastAsia="Times New Roman" w:cs="Times New Roman"/>
        <w:lang w:val="en-GB" w:eastAsia="lv-LV"/>
      </w:rPr>
    </w:pPr>
    <w:r w:rsidRPr="00997DC8">
      <w:rPr>
        <w:rFonts w:eastAsia="Times New Roman" w:cs="Times New Roman"/>
        <w:lang w:val="en-US" w:eastAsia="lv-LV"/>
      </w:rPr>
      <w:t xml:space="preserve">Module 4. </w:t>
    </w:r>
    <w:r w:rsidRPr="00997DC8">
      <w:rPr>
        <w:lang w:val="en-US" w:eastAsia="lv-LV"/>
      </w:rPr>
      <w:t>Integrating with District ​&amp; Renewable Heat ​</w:t>
    </w:r>
    <w:r w:rsidR="00997DC8" w:rsidRPr="00997DC8">
      <w:rPr>
        <w:rFonts w:eastAsia="Times New Roman" w:cs="Times New Roman"/>
        <w:lang w:val="en-US" w:eastAsia="lv-LV"/>
      </w:rPr>
      <w:t xml:space="preserve"> </w:t>
    </w:r>
    <w:r w:rsidR="00997DC8" w:rsidRPr="00997DC8">
      <w:rPr>
        <w:rFonts w:eastAsia="Times New Roman" w:cs="Times New Roman"/>
        <w:lang w:val="en-US" w:eastAsia="lv-LV"/>
      </w:rPr>
      <w:tab/>
      <w:t>KEY</w:t>
    </w:r>
    <w:r w:rsidR="0083006B">
      <w:rPr>
        <w:rFonts w:eastAsia="Times New Roman" w:cs="Times New Roman"/>
        <w:lang w:val="en-US" w:eastAsia="lv-LV"/>
      </w:rPr>
      <w:t xml:space="preserve"> </w:t>
    </w:r>
    <w:r w:rsidR="00997DC8" w:rsidRPr="00997DC8">
      <w:rPr>
        <w:rFonts w:eastAsia="Times New Roman" w:cs="Times New Roman"/>
        <w:lang w:val="en-US" w:eastAsia="lv-LV"/>
      </w:rPr>
      <w:t>TERMS</w:t>
    </w:r>
    <w:r w:rsidRPr="00997DC8">
      <w:rPr>
        <w:lang w:val="en-US" w:eastAsia="lv-LV"/>
      </w:rPr>
      <w:br/>
    </w:r>
    <w:r w:rsidR="00E755A0" w:rsidRPr="00E755A0">
      <w:rPr>
        <w:rFonts w:eastAsia="Times New Roman" w:cs="Times New Roman"/>
        <w:lang w:val="en-GB" w:eastAsia="lv-LV"/>
      </w:rPr>
      <w:t>Unit 2</w:t>
    </w:r>
    <w:r w:rsidR="00825C35">
      <w:rPr>
        <w:rFonts w:eastAsia="Times New Roman" w:cs="Times New Roman"/>
        <w:lang w:val="en-GB" w:eastAsia="lv-LV"/>
      </w:rPr>
      <w:t>.</w:t>
    </w:r>
    <w:r w:rsidR="00E755A0" w:rsidRPr="00E755A0">
      <w:rPr>
        <w:rFonts w:eastAsia="Times New Roman" w:cs="Times New Roman"/>
        <w:lang w:val="en-GB" w:eastAsia="lv-LV"/>
      </w:rPr>
      <w:t xml:space="preserve"> Building–network interface components and acceptance checks</w:t>
    </w:r>
  </w:p>
  <w:p w14:paraId="675C3659" w14:textId="77777777" w:rsidR="00997DC8" w:rsidRPr="00997DC8" w:rsidRDefault="00997DC8" w:rsidP="00997DC8">
    <w:pPr>
      <w:tabs>
        <w:tab w:val="right" w:pos="9638"/>
      </w:tabs>
      <w:spacing w:line="240" w:lineRule="auto"/>
      <w:jc w:val="left"/>
      <w:rPr>
        <w:rFonts w:eastAsia="Times New Roman" w:cs="Times New Roman"/>
        <w:lang w:val="en-US" w:eastAsia="lv-LV"/>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30020C"/>
    <w:multiLevelType w:val="hybridMultilevel"/>
    <w:tmpl w:val="2E909B4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4F803040"/>
    <w:multiLevelType w:val="multilevel"/>
    <w:tmpl w:val="864801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BA861C0"/>
    <w:multiLevelType w:val="multilevel"/>
    <w:tmpl w:val="A6D48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1395395">
    <w:abstractNumId w:val="2"/>
  </w:num>
  <w:num w:numId="2" w16cid:durableId="1021006593">
    <w:abstractNumId w:val="1"/>
  </w:num>
  <w:num w:numId="3" w16cid:durableId="20840648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825"/>
    <w:rsid w:val="00095A73"/>
    <w:rsid w:val="00095C22"/>
    <w:rsid w:val="001A103A"/>
    <w:rsid w:val="00203718"/>
    <w:rsid w:val="0020685D"/>
    <w:rsid w:val="002B46FB"/>
    <w:rsid w:val="002B495A"/>
    <w:rsid w:val="003363F8"/>
    <w:rsid w:val="003E3E7D"/>
    <w:rsid w:val="00466E2F"/>
    <w:rsid w:val="004A3AD6"/>
    <w:rsid w:val="00512108"/>
    <w:rsid w:val="00566E79"/>
    <w:rsid w:val="00614D4D"/>
    <w:rsid w:val="006F7182"/>
    <w:rsid w:val="00730B76"/>
    <w:rsid w:val="00824825"/>
    <w:rsid w:val="00825C35"/>
    <w:rsid w:val="0083006B"/>
    <w:rsid w:val="00896C49"/>
    <w:rsid w:val="008F2A91"/>
    <w:rsid w:val="00997DC8"/>
    <w:rsid w:val="009C116A"/>
    <w:rsid w:val="009F3AFA"/>
    <w:rsid w:val="00A35A0F"/>
    <w:rsid w:val="00A822A8"/>
    <w:rsid w:val="00AC3070"/>
    <w:rsid w:val="00CB6F14"/>
    <w:rsid w:val="00CC553E"/>
    <w:rsid w:val="00CF0C88"/>
    <w:rsid w:val="00CF51A9"/>
    <w:rsid w:val="00D2018F"/>
    <w:rsid w:val="00D93BA7"/>
    <w:rsid w:val="00DB4F64"/>
    <w:rsid w:val="00E755A0"/>
    <w:rsid w:val="00E76009"/>
    <w:rsid w:val="00EA432A"/>
    <w:rsid w:val="00EE3A5B"/>
    <w:rsid w:val="00F20775"/>
    <w:rsid w:val="00F275E3"/>
    <w:rsid w:val="00F37C24"/>
    <w:rsid w:val="00F50DD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653719"/>
  <w15:chartTrackingRefBased/>
  <w15:docId w15:val="{20F34E66-4CAF-4B8C-BBA7-2FEF3F505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5C22"/>
    <w:pPr>
      <w:spacing w:after="0"/>
      <w:jc w:val="both"/>
    </w:pPr>
    <w:rPr>
      <w:rFonts w:ascii="Times New Roman" w:hAnsi="Times New Roman"/>
    </w:rPr>
  </w:style>
  <w:style w:type="paragraph" w:styleId="Heading1">
    <w:name w:val="heading 1"/>
    <w:basedOn w:val="Heading2"/>
    <w:next w:val="Normal"/>
    <w:link w:val="Heading1Char"/>
    <w:uiPriority w:val="9"/>
    <w:qFormat/>
    <w:rsid w:val="00CC553E"/>
    <w:pPr>
      <w:jc w:val="center"/>
      <w:outlineLvl w:val="0"/>
    </w:pPr>
    <w:rPr>
      <w:sz w:val="28"/>
    </w:rPr>
  </w:style>
  <w:style w:type="paragraph" w:styleId="Heading2">
    <w:name w:val="heading 2"/>
    <w:basedOn w:val="Normal"/>
    <w:link w:val="Heading2Char"/>
    <w:uiPriority w:val="9"/>
    <w:qFormat/>
    <w:rsid w:val="00CC553E"/>
    <w:pPr>
      <w:spacing w:before="240" w:line="240" w:lineRule="auto"/>
      <w:jc w:val="left"/>
      <w:outlineLvl w:val="1"/>
    </w:pPr>
    <w:rPr>
      <w:rFonts w:eastAsia="Times New Roman" w:cs="Times New Roman"/>
      <w:b/>
      <w:bCs/>
      <w:sz w:val="24"/>
      <w:szCs w:val="40"/>
      <w:lang w:val="en-US" w:eastAsia="lv-LV"/>
    </w:rPr>
  </w:style>
  <w:style w:type="paragraph" w:styleId="Heading3">
    <w:name w:val="heading 3"/>
    <w:basedOn w:val="Heading2"/>
    <w:next w:val="Normal"/>
    <w:link w:val="Heading3Char"/>
    <w:uiPriority w:val="9"/>
    <w:unhideWhenUsed/>
    <w:qFormat/>
    <w:rsid w:val="00997DC8"/>
    <w:pPr>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C553E"/>
    <w:rPr>
      <w:rFonts w:ascii="Times New Roman" w:eastAsia="Times New Roman" w:hAnsi="Times New Roman" w:cs="Times New Roman"/>
      <w:b/>
      <w:bCs/>
      <w:sz w:val="24"/>
      <w:szCs w:val="40"/>
      <w:lang w:val="en-US" w:eastAsia="lv-LV"/>
    </w:rPr>
  </w:style>
  <w:style w:type="paragraph" w:customStyle="1" w:styleId="font-claude-response-body">
    <w:name w:val="font-claude-response-body"/>
    <w:basedOn w:val="Normal"/>
    <w:rsid w:val="00824825"/>
    <w:pPr>
      <w:spacing w:before="100" w:beforeAutospacing="1" w:after="100" w:afterAutospacing="1" w:line="240" w:lineRule="auto"/>
    </w:pPr>
    <w:rPr>
      <w:rFonts w:eastAsia="Times New Roman" w:cs="Times New Roman"/>
      <w:sz w:val="24"/>
      <w:szCs w:val="24"/>
      <w:lang w:eastAsia="lv-LV"/>
    </w:rPr>
  </w:style>
  <w:style w:type="character" w:styleId="Strong">
    <w:name w:val="Strong"/>
    <w:basedOn w:val="DefaultParagraphFont"/>
    <w:uiPriority w:val="22"/>
    <w:qFormat/>
    <w:rsid w:val="00824825"/>
    <w:rPr>
      <w:b/>
      <w:bCs/>
    </w:rPr>
  </w:style>
  <w:style w:type="paragraph" w:styleId="NormalWeb">
    <w:name w:val="Normal (Web)"/>
    <w:basedOn w:val="Normal"/>
    <w:uiPriority w:val="99"/>
    <w:semiHidden/>
    <w:unhideWhenUsed/>
    <w:rsid w:val="00AC3070"/>
    <w:pPr>
      <w:spacing w:before="100" w:beforeAutospacing="1" w:after="100" w:afterAutospacing="1" w:line="240" w:lineRule="auto"/>
      <w:jc w:val="left"/>
    </w:pPr>
    <w:rPr>
      <w:rFonts w:eastAsia="Times New Roman" w:cs="Times New Roman"/>
      <w:sz w:val="24"/>
      <w:szCs w:val="24"/>
      <w:lang w:val="de-DE" w:eastAsia="de-DE"/>
    </w:rPr>
  </w:style>
  <w:style w:type="paragraph" w:styleId="Header">
    <w:name w:val="header"/>
    <w:basedOn w:val="Normal"/>
    <w:link w:val="HeaderChar"/>
    <w:uiPriority w:val="99"/>
    <w:unhideWhenUsed/>
    <w:rsid w:val="00AC3070"/>
    <w:pPr>
      <w:tabs>
        <w:tab w:val="center" w:pos="4513"/>
        <w:tab w:val="right" w:pos="9026"/>
      </w:tabs>
      <w:spacing w:line="240" w:lineRule="auto"/>
    </w:pPr>
  </w:style>
  <w:style w:type="character" w:customStyle="1" w:styleId="HeaderChar">
    <w:name w:val="Header Char"/>
    <w:basedOn w:val="DefaultParagraphFont"/>
    <w:link w:val="Header"/>
    <w:uiPriority w:val="99"/>
    <w:rsid w:val="00AC3070"/>
    <w:rPr>
      <w:rFonts w:ascii="Times New Roman" w:hAnsi="Times New Roman"/>
    </w:rPr>
  </w:style>
  <w:style w:type="paragraph" w:styleId="Footer">
    <w:name w:val="footer"/>
    <w:basedOn w:val="Normal"/>
    <w:link w:val="FooterChar"/>
    <w:uiPriority w:val="99"/>
    <w:unhideWhenUsed/>
    <w:rsid w:val="00AC3070"/>
    <w:pPr>
      <w:tabs>
        <w:tab w:val="center" w:pos="4513"/>
        <w:tab w:val="right" w:pos="9026"/>
      </w:tabs>
      <w:spacing w:line="240" w:lineRule="auto"/>
    </w:pPr>
  </w:style>
  <w:style w:type="character" w:customStyle="1" w:styleId="FooterChar">
    <w:name w:val="Footer Char"/>
    <w:basedOn w:val="DefaultParagraphFont"/>
    <w:link w:val="Footer"/>
    <w:uiPriority w:val="99"/>
    <w:rsid w:val="00AC3070"/>
    <w:rPr>
      <w:rFonts w:ascii="Times New Roman" w:hAnsi="Times New Roman"/>
    </w:rPr>
  </w:style>
  <w:style w:type="character" w:customStyle="1" w:styleId="Heading3Char">
    <w:name w:val="Heading 3 Char"/>
    <w:basedOn w:val="DefaultParagraphFont"/>
    <w:link w:val="Heading3"/>
    <w:uiPriority w:val="9"/>
    <w:rsid w:val="00997DC8"/>
    <w:rPr>
      <w:rFonts w:ascii="Times New Roman" w:eastAsia="Times New Roman" w:hAnsi="Times New Roman" w:cs="Times New Roman"/>
      <w:b/>
      <w:bCs/>
      <w:sz w:val="24"/>
      <w:szCs w:val="40"/>
      <w:lang w:val="en-US" w:eastAsia="lv-LV"/>
    </w:rPr>
  </w:style>
  <w:style w:type="paragraph" w:customStyle="1" w:styleId="GlossaryDefinition">
    <w:name w:val="Glossary Definition"/>
    <w:rsid w:val="00997DC8"/>
    <w:pPr>
      <w:spacing w:after="60" w:line="276" w:lineRule="auto"/>
    </w:pPr>
    <w:rPr>
      <w:rFonts w:ascii="Arial" w:eastAsia="Arial" w:hAnsi="Arial"/>
      <w:color w:val="202020"/>
      <w:sz w:val="21"/>
      <w:lang w:val="en-US"/>
    </w:rPr>
  </w:style>
  <w:style w:type="paragraph" w:customStyle="1" w:styleId="TermDefinition">
    <w:name w:val="Term Definition"/>
    <w:rsid w:val="009F3AFA"/>
    <w:pPr>
      <w:spacing w:after="100" w:line="276" w:lineRule="auto"/>
      <w:ind w:left="173"/>
    </w:pPr>
    <w:rPr>
      <w:rFonts w:ascii="Aptos" w:eastAsiaTheme="minorEastAsia" w:hAnsi="Aptos"/>
      <w:sz w:val="20"/>
      <w:lang w:val="en-US"/>
    </w:rPr>
  </w:style>
  <w:style w:type="character" w:customStyle="1" w:styleId="Heading1Char">
    <w:name w:val="Heading 1 Char"/>
    <w:basedOn w:val="DefaultParagraphFont"/>
    <w:link w:val="Heading1"/>
    <w:uiPriority w:val="9"/>
    <w:rsid w:val="00CC553E"/>
    <w:rPr>
      <w:rFonts w:ascii="Times New Roman" w:eastAsia="Times New Roman" w:hAnsi="Times New Roman" w:cs="Times New Roman"/>
      <w:b/>
      <w:bCs/>
      <w:sz w:val="28"/>
      <w:szCs w:val="40"/>
      <w:lang w:val="en-US" w:eastAsia="lv-LV"/>
    </w:rPr>
  </w:style>
  <w:style w:type="paragraph" w:styleId="NoSpacing">
    <w:name w:val="No Spacing"/>
    <w:aliases w:val="TExt,Text"/>
    <w:basedOn w:val="Normal"/>
    <w:uiPriority w:val="1"/>
    <w:qFormat/>
    <w:rsid w:val="00730B76"/>
    <w:pPr>
      <w:ind w:left="113"/>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9080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02253C9AEBC71C47A227A4829C21DF97" ma:contentTypeVersion="12" ma:contentTypeDescription="Создание документа." ma:contentTypeScope="" ma:versionID="c08ecda7829650c9ca8e883389edc514">
  <xsd:schema xmlns:xsd="http://www.w3.org/2001/XMLSchema" xmlns:xs="http://www.w3.org/2001/XMLSchema" xmlns:p="http://schemas.microsoft.com/office/2006/metadata/properties" xmlns:ns2="6c6dc0c2-662f-483e-a2ac-c4906ac02010" xmlns:ns3="02ef16f0-a918-4a7c-ac07-b4517a8518d9" targetNamespace="http://schemas.microsoft.com/office/2006/metadata/properties" ma:root="true" ma:fieldsID="95b37ab51bf15cb650d477a5fdec67b1" ns2:_="" ns3:_="">
    <xsd:import namespace="6c6dc0c2-662f-483e-a2ac-c4906ac02010"/>
    <xsd:import namespace="02ef16f0-a918-4a7c-ac07-b4517a8518d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6dc0c2-662f-483e-a2ac-c4906ac020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Теги изображений" ma:readOnly="false" ma:fieldId="{5cf76f15-5ced-4ddc-b409-7134ff3c332f}" ma:taxonomyMulti="true" ma:sspId="130c09f6-3d71-40eb-857e-9c2f3277bed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2ef16f0-a918-4a7c-ac07-b4517a8518d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720744f-9884-408f-a7c8-a5d3396591a8}" ma:internalName="TaxCatchAll" ma:showField="CatchAllData" ma:web="02ef16f0-a918-4a7c-ac07-b4517a8518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c6dc0c2-662f-483e-a2ac-c4906ac02010">
      <Terms xmlns="http://schemas.microsoft.com/office/infopath/2007/PartnerControls"/>
    </lcf76f155ced4ddcb4097134ff3c332f>
    <TaxCatchAll xmlns="02ef16f0-a918-4a7c-ac07-b4517a8518d9" xsi:nil="true"/>
  </documentManagement>
</p:properties>
</file>

<file path=customXml/itemProps1.xml><?xml version="1.0" encoding="utf-8"?>
<ds:datastoreItem xmlns:ds="http://schemas.openxmlformats.org/officeDocument/2006/customXml" ds:itemID="{63DED624-C8E1-42EB-854D-64CD72316CC0}"/>
</file>

<file path=customXml/itemProps2.xml><?xml version="1.0" encoding="utf-8"?>
<ds:datastoreItem xmlns:ds="http://schemas.openxmlformats.org/officeDocument/2006/customXml" ds:itemID="{3A659CD8-D9EA-4136-AE65-8B29F8FD30CF}"/>
</file>

<file path=customXml/itemProps3.xml><?xml version="1.0" encoding="utf-8"?>
<ds:datastoreItem xmlns:ds="http://schemas.openxmlformats.org/officeDocument/2006/customXml" ds:itemID="{1660B267-2F93-4F81-A55B-5C92ABF18583}"/>
</file>

<file path=docProps/app.xml><?xml version="1.0" encoding="utf-8"?>
<Properties xmlns="http://schemas.openxmlformats.org/officeDocument/2006/extended-properties" xmlns:vt="http://schemas.openxmlformats.org/officeDocument/2006/docPropsVTypes">
  <Template>Normal.dotm</Template>
  <TotalTime>0</TotalTime>
  <Pages>5</Pages>
  <Words>2147</Words>
  <Characters>13533</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Tatjana Tambovceva</dc:creator>
  <cp:keywords/>
  <dc:description/>
  <cp:lastModifiedBy>Raimonds Bogdanovičs</cp:lastModifiedBy>
  <cp:revision>12</cp:revision>
  <dcterms:created xsi:type="dcterms:W3CDTF">2026-07-24T09:53:00Z</dcterms:created>
  <dcterms:modified xsi:type="dcterms:W3CDTF">2026-07-26T15:15:00Z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0x01010002253C9AEBC71C47A227A4829C21DF97</vt:lpwstr>
  </property>
</Properties>
</file>