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C79F" w14:textId="2B82D84F" w:rsidR="00CF51A9" w:rsidRPr="003E3E7D" w:rsidRDefault="00CF51A9" w:rsidP="00CF51A9">
      <w:pPr>
        <w:pStyle w:val="Heading2"/>
        <w:rPr>
          <w:lang w:val="en-US"/>
        </w:rPr>
      </w:pPr>
      <w:r w:rsidRPr="003E3E7D">
        <w:rPr>
          <w:lang w:val="en-US"/>
        </w:rPr>
        <w:t>Basic district-energy concepts</w:t>
      </w:r>
    </w:p>
    <w:p w14:paraId="233893BA" w14:textId="5F8A9F22" w:rsidR="00CF51A9" w:rsidRPr="003E3E7D" w:rsidRDefault="00CF51A9" w:rsidP="00CF51A9">
      <w:pPr>
        <w:pStyle w:val="Heading3"/>
      </w:pPr>
      <w:r w:rsidRPr="003E3E7D">
        <w:t>District heating system</w:t>
      </w:r>
    </w:p>
    <w:p w14:paraId="76F649A3" w14:textId="651C2350" w:rsidR="00CF51A9" w:rsidRPr="00E03E94" w:rsidRDefault="00CF51A9" w:rsidP="00E03E94">
      <w:pPr>
        <w:pStyle w:val="NoSpacing"/>
      </w:pPr>
      <w:r w:rsidRPr="00E03E94">
        <w:t>A system that distributes thermal energy, normally through a network of pipes carrying hot water, from one or more central or decentralized heat sources to multiple buildings or sites for space heating, domestic hot water, and sometimes process heat. The system may include production units, recovered heat sources, thermal storage, pumping stations, distribution networks, substations, metering, and controls. Steam is mainly associated with older or specialized networks; low-temperature district heating uses liquid water.</w:t>
      </w:r>
    </w:p>
    <w:p w14:paraId="6A3519C8" w14:textId="263A0727" w:rsidR="00CF51A9" w:rsidRPr="003E3E7D" w:rsidRDefault="00CF51A9" w:rsidP="00CF51A9">
      <w:pPr>
        <w:pStyle w:val="Heading3"/>
      </w:pPr>
      <w:r w:rsidRPr="003E3E7D">
        <w:t>District cooling system</w:t>
      </w:r>
    </w:p>
    <w:p w14:paraId="43F4F200" w14:textId="7FB8D953" w:rsidR="00CF51A9" w:rsidRPr="003E3E7D" w:rsidRDefault="00997DC8" w:rsidP="00E03E94">
      <w:pPr>
        <w:pStyle w:val="NoSpacing"/>
      </w:pPr>
      <w:r w:rsidRPr="003E3E7D">
        <w:t>The distribution of chilled water or another cold carrier from one or more centralized or decentralized sources through a network to multiple buildings or sites for space or process cooling. It may use chillers, free cooling, thermal storage, recovered cooling, or reversible heat-pump systems.</w:t>
      </w:r>
    </w:p>
    <w:p w14:paraId="607506C9" w14:textId="77777777" w:rsidR="00CF51A9" w:rsidRPr="003E3E7D" w:rsidRDefault="00CF51A9" w:rsidP="003E3E7D">
      <w:pPr>
        <w:pStyle w:val="Heading3"/>
        <w:rPr>
          <w:rStyle w:val="Heading2Char"/>
          <w:b/>
          <w:bCs/>
          <w:sz w:val="24"/>
        </w:rPr>
      </w:pPr>
      <w:r w:rsidRPr="003E3E7D">
        <w:rPr>
          <w:rStyle w:val="Heading2Char"/>
          <w:b/>
          <w:bCs/>
          <w:sz w:val="24"/>
        </w:rPr>
        <w:t>Supply (forward) and return temperature</w:t>
      </w:r>
    </w:p>
    <w:p w14:paraId="04922789" w14:textId="03C27CA9" w:rsidR="00CF51A9" w:rsidRPr="003E3E7D" w:rsidRDefault="00DB4F64" w:rsidP="00E03E94">
      <w:pPr>
        <w:pStyle w:val="NoSpacing"/>
      </w:pPr>
      <w:r>
        <w:t>T</w:t>
      </w:r>
      <w:r w:rsidR="00CF51A9" w:rsidRPr="003E3E7D">
        <w:t>he supply or forward-flow temperature is the temperature of network water delivered from the heat source or main network toward consumers; the return temperature is the temperature of water flowing back after heat has been transferred. The temperature difference, ΔT = Tsupply − Treturn, determines the mass flow required for a given heat load. Lower supply temperatures reduce distribution losses, while low return temperatures improve network capacity and the efficiency of many heat sources. A small ΔT increases flow and pumping demand and may limit network capacity.</w:t>
      </w:r>
    </w:p>
    <w:p w14:paraId="1AE38C7D" w14:textId="77777777" w:rsidR="00CF51A9" w:rsidRPr="003E3E7D" w:rsidRDefault="00CF51A9" w:rsidP="00CF51A9">
      <w:pPr>
        <w:pStyle w:val="Heading3"/>
      </w:pPr>
      <w:r w:rsidRPr="003E3E7D">
        <w:t>Heat losses / distribution losses / network heat exchange</w:t>
      </w:r>
    </w:p>
    <w:p w14:paraId="26915F6B" w14:textId="4D260F30" w:rsidR="00CF51A9" w:rsidRPr="003E3E7D" w:rsidRDefault="00CF51A9" w:rsidP="00E03E94">
      <w:pPr>
        <w:pStyle w:val="NoSpacing"/>
      </w:pPr>
      <w:r w:rsidRPr="003E3E7D">
        <w:t xml:space="preserve">Thermal energy transferred between the network fluid and the surrounding soil, air, structures, or service spaces during distribution. In warm district-heating networks this transfer is normally a heat loss, and lower supply and return temperatures generally reduce it. In near-ambient </w:t>
      </w:r>
      <w:r w:rsidR="00DB4F64">
        <w:t>thermal source networks (</w:t>
      </w:r>
      <w:r w:rsidRPr="003E3E7D">
        <w:t>TSNs</w:t>
      </w:r>
      <w:r w:rsidR="00DB4F64">
        <w:t>)</w:t>
      </w:r>
      <w:r w:rsidRPr="003E3E7D">
        <w:t>, the network may either lose or gain heat from the ground, and some designs intentionally use the buried network as part of the environmental heat exchange. Thermal exchange should be distinguished from pumping electricity and conversion losses.</w:t>
      </w:r>
    </w:p>
    <w:p w14:paraId="44720A12" w14:textId="77777777" w:rsidR="00CF51A9" w:rsidRPr="003E3E7D" w:rsidRDefault="00CF51A9" w:rsidP="00CF51A9">
      <w:pPr>
        <w:pStyle w:val="Heading3"/>
      </w:pPr>
      <w:r w:rsidRPr="003E3E7D">
        <w:t>Pre-insulated pipe, insulation class, and twin-pipe system</w:t>
      </w:r>
    </w:p>
    <w:p w14:paraId="65F927EF" w14:textId="77777777" w:rsidR="00CF51A9" w:rsidRPr="003E3E7D" w:rsidRDefault="00CF51A9" w:rsidP="00E03E94">
      <w:pPr>
        <w:pStyle w:val="NoSpacing"/>
      </w:pPr>
      <w:r w:rsidRPr="003E3E7D">
        <w:t>An insulation class describes the thermal-insulation level of a pre-insulated district-heating pipe system. A twin pipe contains both the supply and return carrier pipes within one common insulation layer and outer casing; it can reduce trench width and, in suitable applications, distribution heat loss compared with two separate single pipes. Conventional low-temperature and 4GDH networks generally still use pre-insulated pipes. Near-ambient TSNs may use uninsulated polymer pipes where temperatures, soil interaction, condensation/frost risk, and economics justify that choice.</w:t>
      </w:r>
    </w:p>
    <w:p w14:paraId="16F0F30B" w14:textId="77777777" w:rsidR="00CF51A9" w:rsidRPr="003E3E7D" w:rsidRDefault="00CF51A9" w:rsidP="003E3E7D">
      <w:pPr>
        <w:pStyle w:val="Heading3"/>
        <w:rPr>
          <w:rStyle w:val="Heading2Char"/>
          <w:b/>
          <w:bCs/>
          <w:sz w:val="24"/>
        </w:rPr>
      </w:pPr>
      <w:r w:rsidRPr="003E3E7D">
        <w:rPr>
          <w:rStyle w:val="Heading2Char"/>
          <w:b/>
          <w:bCs/>
          <w:sz w:val="24"/>
        </w:rPr>
        <w:t>Substation / energy transfer station / heat-exchanger unit</w:t>
      </w:r>
    </w:p>
    <w:p w14:paraId="1F410B45" w14:textId="579DE0D4" w:rsidR="00997DC8" w:rsidRPr="003E3E7D" w:rsidRDefault="00CF51A9" w:rsidP="00E03E94">
      <w:pPr>
        <w:pStyle w:val="NoSpacing"/>
      </w:pPr>
      <w:r w:rsidRPr="003E3E7D">
        <w:t>The interface between the district network and a building or local secondary system. A conventional indirect district-heating substation typically contains a heat exchanger, control valves, metering, sensors, and sometimes pumps or storage, transferring heat without mixing district and building fluids. Direct hydraulic connections also exist. In a thermal source network, the energy transfer station usually includes a reversible water-source heat pump and may also contain heat exchangers, free-cooling equipment, domestic-hot-water equipment, controls, and metering.</w:t>
      </w:r>
    </w:p>
    <w:p w14:paraId="37EF55A8" w14:textId="77777777" w:rsidR="00997DC8" w:rsidRPr="003E3E7D" w:rsidRDefault="00997DC8" w:rsidP="00997DC8">
      <w:pPr>
        <w:pStyle w:val="Heading3"/>
      </w:pPr>
      <w:r w:rsidRPr="003E3E7D">
        <w:t>Heat-demand density / linear heat-density indicator</w:t>
      </w:r>
    </w:p>
    <w:p w14:paraId="398B8162" w14:textId="05828F59" w:rsidR="00997DC8" w:rsidRDefault="00997DC8" w:rsidP="00E03E94">
      <w:pPr>
        <w:pStyle w:val="NoSpacing"/>
      </w:pPr>
      <w:r w:rsidRPr="003E3E7D">
        <w:t xml:space="preserve">A measure of useful heat or cooling demand relative to an area or network length. High demand density often improves district-network economics by increasing delivered energy per </w:t>
      </w:r>
      <w:r w:rsidR="009C116A" w:rsidRPr="003E3E7D">
        <w:t>meter</w:t>
      </w:r>
      <w:r w:rsidRPr="003E3E7D">
        <w:t xml:space="preserve"> of pipe, but near-ambient networks may have different feasibility thresholds because pipe cost, heat loss, heat exchange, and customer equipment differ from conventional </w:t>
      </w:r>
      <w:r w:rsidR="00E03E94">
        <w:t>district heating</w:t>
      </w:r>
      <w:r w:rsidRPr="003E3E7D">
        <w:t>.</w:t>
      </w:r>
    </w:p>
    <w:p w14:paraId="3FE51A9A" w14:textId="77777777" w:rsidR="00DB4F64" w:rsidRPr="003E3E7D" w:rsidRDefault="00DB4F64" w:rsidP="00DB4F64">
      <w:pPr>
        <w:pStyle w:val="Heading3"/>
      </w:pPr>
      <w:r w:rsidRPr="003E3E7D">
        <w:lastRenderedPageBreak/>
        <w:t>Network topology (branched / radial, ring, mesh)</w:t>
      </w:r>
    </w:p>
    <w:p w14:paraId="269F1493" w14:textId="0170D415" w:rsidR="00DB4F64" w:rsidRPr="003E3E7D" w:rsidRDefault="00DB4F64" w:rsidP="00E03E94">
      <w:pPr>
        <w:pStyle w:val="NoSpacing"/>
      </w:pPr>
      <w:r w:rsidRPr="003E3E7D">
        <w:t>The physical connectivity of pipes, nodes, sources, storage units, and consumers. A branched or radial network has tree-like connections; a ring provides an alternative path around a loop; and a mesh contains multiple interconnected paths. The appropriate topology depends on demand density, source locations, hydraulic control, redundancy requirements, construction phasing, land constraints, and life-cycle cost.</w:t>
      </w:r>
    </w:p>
    <w:p w14:paraId="31932C09" w14:textId="77777777" w:rsidR="00997DC8" w:rsidRPr="003E3E7D" w:rsidRDefault="00997DC8" w:rsidP="00997DC8">
      <w:pPr>
        <w:pStyle w:val="Heading3"/>
      </w:pPr>
      <w:r w:rsidRPr="003E3E7D">
        <w:t>Hydraulic balancing and pumping energy</w:t>
      </w:r>
    </w:p>
    <w:p w14:paraId="27743E9F" w14:textId="1026608C" w:rsidR="00997DC8" w:rsidRPr="003E3E7D" w:rsidRDefault="00997DC8" w:rsidP="00E03E94">
      <w:pPr>
        <w:pStyle w:val="NoSpacing"/>
      </w:pPr>
      <w:r w:rsidRPr="003E3E7D">
        <w:t xml:space="preserve">Hydraulic balancing ensures that each branch and customer receives the required flow without excessive differential pressure or bypassing. Pumping energy depends on flow, pressure drop, control strategy, pipe dimensions, and ΔT; it becomes </w:t>
      </w:r>
      <w:r w:rsidR="009C116A">
        <w:t>important</w:t>
      </w:r>
      <w:r w:rsidRPr="003E3E7D">
        <w:t xml:space="preserve"> when low temperature differences require high mass flow.</w:t>
      </w:r>
    </w:p>
    <w:p w14:paraId="2619BCF0" w14:textId="5EC6FF74" w:rsidR="00CF51A9" w:rsidRPr="003E3E7D" w:rsidRDefault="00CF51A9" w:rsidP="00997DC8">
      <w:pPr>
        <w:pStyle w:val="Heading2"/>
        <w:rPr>
          <w:lang w:val="en-US"/>
        </w:rPr>
      </w:pPr>
      <w:r w:rsidRPr="003E3E7D">
        <w:rPr>
          <w:lang w:val="en-US"/>
        </w:rPr>
        <w:t>Temperature and energy-quality concepts</w:t>
      </w:r>
    </w:p>
    <w:p w14:paraId="59794398" w14:textId="77777777" w:rsidR="00997DC8" w:rsidRPr="003E3E7D" w:rsidRDefault="00997DC8" w:rsidP="00997DC8">
      <w:pPr>
        <w:pStyle w:val="Heading3"/>
      </w:pPr>
      <w:r w:rsidRPr="003E3E7D">
        <w:t>Low-temperature district heating (LTDH)</w:t>
      </w:r>
    </w:p>
    <w:p w14:paraId="077CDB31" w14:textId="12487B98" w:rsidR="00997DC8" w:rsidRPr="003E3E7D" w:rsidRDefault="00997DC8" w:rsidP="00E03E94">
      <w:pPr>
        <w:pStyle w:val="NoSpacing"/>
      </w:pPr>
      <w:r w:rsidRPr="003E3E7D">
        <w:t>A</w:t>
      </w:r>
      <w:r w:rsidR="009C116A">
        <w:t xml:space="preserve">n </w:t>
      </w:r>
      <w:r w:rsidRPr="003E3E7D">
        <w:t>approach that reduces network temperatures compared with conventional systems and coordinates network design, heat sources, substations, and building emitters to operate efficiently at those temperatures. Temperature thresholds vary by source; IEA DHC publications describe supply temperatures around 50 °C or below for LTDH, while the simplified generation classification places 4GDH networks at or below 70 °C.</w:t>
      </w:r>
    </w:p>
    <w:p w14:paraId="7FF3AC55" w14:textId="77777777" w:rsidR="00997DC8" w:rsidRPr="003E3E7D" w:rsidRDefault="00997DC8" w:rsidP="00997DC8">
      <w:pPr>
        <w:pStyle w:val="Heading3"/>
      </w:pPr>
      <w:r w:rsidRPr="003E3E7D">
        <w:t>Ultra-low-temperature district heating (ULTDH)</w:t>
      </w:r>
    </w:p>
    <w:p w14:paraId="67893C75" w14:textId="3F053EC4" w:rsidR="00997DC8" w:rsidRPr="003E3E7D" w:rsidRDefault="00997DC8" w:rsidP="00E03E94">
      <w:pPr>
        <w:pStyle w:val="NoSpacing"/>
      </w:pPr>
      <w:r w:rsidRPr="003E3E7D">
        <w:t>A low-temperature network operated at a temperature too low to meet all building heat demands directly, so local heat pumps or boosters are used for at least some services. The term overlaps with cold district heating, ambient loops, and thermal source networks; the exact temperature boundary must be defined in each study.</w:t>
      </w:r>
    </w:p>
    <w:p w14:paraId="2D8BFDBC" w14:textId="443D5838" w:rsidR="00095C22" w:rsidRPr="003E3E7D" w:rsidRDefault="00824825" w:rsidP="00CF51A9">
      <w:pPr>
        <w:pStyle w:val="Heading3"/>
      </w:pPr>
      <w:r w:rsidRPr="003E3E7D">
        <w:t>Fourth-</w:t>
      </w:r>
      <w:r w:rsidR="009C116A">
        <w:t>g</w:t>
      </w:r>
      <w:r w:rsidRPr="003E3E7D">
        <w:t xml:space="preserve">eneration </w:t>
      </w:r>
      <w:r w:rsidR="009C116A">
        <w:t>d</w:t>
      </w:r>
      <w:r w:rsidRPr="003E3E7D">
        <w:t xml:space="preserve">istrict </w:t>
      </w:r>
      <w:r w:rsidR="009C116A">
        <w:t>h</w:t>
      </w:r>
      <w:r w:rsidRPr="003E3E7D">
        <w:t>eating</w:t>
      </w:r>
      <w:r w:rsidR="003E3E7D">
        <w:t xml:space="preserve"> (</w:t>
      </w:r>
      <w:r w:rsidR="003E3E7D" w:rsidRPr="003E3E7D">
        <w:t>4GDH</w:t>
      </w:r>
      <w:r w:rsidR="003E3E7D">
        <w:t>)</w:t>
      </w:r>
    </w:p>
    <w:p w14:paraId="467D604B" w14:textId="6C03E7B5" w:rsidR="00896C49" w:rsidRPr="003E3E7D" w:rsidRDefault="00896C49" w:rsidP="00E03E94">
      <w:pPr>
        <w:pStyle w:val="NoSpacing"/>
      </w:pPr>
      <w:r w:rsidRPr="003E3E7D">
        <w:t xml:space="preserve">A system concept for supplying buildings through hot-water district-heating networks operated at lower temperatures than earlier generations, while coordinating energy-efficient buildings, low return temperatures, renewable and recovered heat sources, thermal storage, smart control, and interaction with the wider energy system. For a simplified temperature-based classification, </w:t>
      </w:r>
      <w:r w:rsidR="009C116A">
        <w:t>commonly defined</w:t>
      </w:r>
      <w:r w:rsidRPr="003E3E7D">
        <w:t xml:space="preserve"> as </w:t>
      </w:r>
      <w:r w:rsidR="009C116A">
        <w:t>a system</w:t>
      </w:r>
      <w:r w:rsidRPr="003E3E7D">
        <w:t xml:space="preserve"> with a maximum forward-flow temperature at or below 70 °C.</w:t>
      </w:r>
    </w:p>
    <w:p w14:paraId="2C132203" w14:textId="119B6CD4" w:rsidR="00095C22" w:rsidRPr="003E3E7D" w:rsidRDefault="00824825" w:rsidP="00CF51A9">
      <w:pPr>
        <w:pStyle w:val="Heading3"/>
      </w:pPr>
      <w:r w:rsidRPr="003E3E7D">
        <w:t>Fifth-</w:t>
      </w:r>
      <w:r w:rsidR="009C116A">
        <w:t>g</w:t>
      </w:r>
      <w:r w:rsidRPr="003E3E7D">
        <w:t xml:space="preserve">eneration </w:t>
      </w:r>
      <w:r w:rsidR="009C116A">
        <w:t>d</w:t>
      </w:r>
      <w:r w:rsidRPr="003E3E7D">
        <w:t xml:space="preserve">istrict </w:t>
      </w:r>
      <w:r w:rsidR="009C116A">
        <w:t>h</w:t>
      </w:r>
      <w:r w:rsidRPr="003E3E7D">
        <w:t xml:space="preserve">eating and </w:t>
      </w:r>
      <w:r w:rsidR="009C116A">
        <w:t>c</w:t>
      </w:r>
      <w:r w:rsidRPr="003E3E7D">
        <w:t>ooling</w:t>
      </w:r>
      <w:r w:rsidR="003E3E7D">
        <w:t xml:space="preserve"> (</w:t>
      </w:r>
      <w:r w:rsidR="003E3E7D" w:rsidRPr="003E3E7D">
        <w:t>5GDHC</w:t>
      </w:r>
      <w:r w:rsidR="003E3E7D">
        <w:t>)</w:t>
      </w:r>
      <w:r w:rsidR="00896C49" w:rsidRPr="003E3E7D">
        <w:t xml:space="preserve"> / Thermal </w:t>
      </w:r>
      <w:r w:rsidR="009C116A">
        <w:t>s</w:t>
      </w:r>
      <w:r w:rsidR="00896C49" w:rsidRPr="003E3E7D">
        <w:t xml:space="preserve">ource </w:t>
      </w:r>
      <w:r w:rsidR="009C116A">
        <w:t>n</w:t>
      </w:r>
      <w:r w:rsidR="00896C49" w:rsidRPr="003E3E7D">
        <w:t>etwork (TSN)</w:t>
      </w:r>
    </w:p>
    <w:p w14:paraId="73B1889F" w14:textId="4E0A6F89" w:rsidR="00896C49" w:rsidRPr="003E3E7D" w:rsidRDefault="00896C49" w:rsidP="00E03E94">
      <w:pPr>
        <w:pStyle w:val="NoSpacing"/>
      </w:pPr>
      <w:r w:rsidRPr="003E3E7D">
        <w:t>A commonly used term for a shared near-ambient-temperature water or brine network that serves as a distributed heat source and heat sink for building-level reversible heat pumps. Connected buildings may extract heat for space heating and domestic hot water, reject heat while cooling, or do both at different times. External heat sources, heat sinks, and thermal storage are used to keep the network within an acceptable operating-temperature band. Project temperatures vary with climate and design; a range such as approximately 5–30 °C is descriptive, not a universal definition. IEA DHC now recommends “thermal source network” rather than “5th-generation district heating” and considers TSNs a subclass of 4GDH networks.</w:t>
      </w:r>
    </w:p>
    <w:p w14:paraId="764B5710" w14:textId="77777777" w:rsidR="00CF51A9" w:rsidRPr="003E3E7D" w:rsidRDefault="00CF51A9" w:rsidP="00CF51A9">
      <w:pPr>
        <w:pStyle w:val="Heading3"/>
      </w:pPr>
      <w:r w:rsidRPr="003E3E7D">
        <w:t>Low-exergy (low-ex) systems</w:t>
      </w:r>
    </w:p>
    <w:p w14:paraId="55B0AF8B" w14:textId="62BBD075" w:rsidR="00CF51A9" w:rsidRPr="003E3E7D" w:rsidRDefault="00CF51A9" w:rsidP="00E03E94">
      <w:pPr>
        <w:pStyle w:val="NoSpacing"/>
      </w:pPr>
      <w:r w:rsidRPr="003E3E7D">
        <w:t>A system designed to match the thermodynamic quality of an energy source to the quality required by the end use. Exergy represents the maximum useful work obtainable as a system comes into equilibrium with its environment. Low-exergy design therefore avoids using high-temperature or otherwise high-quality energy where low-temperature heat is sufficient, and seeks to minimize exergy destruction across generation, distribution, heat pumps, heat exchangers, storage, and building systems.</w:t>
      </w:r>
    </w:p>
    <w:p w14:paraId="37EB5B2C" w14:textId="1437E944" w:rsidR="00095C22" w:rsidRPr="003E3E7D" w:rsidRDefault="00824825" w:rsidP="00997DC8">
      <w:pPr>
        <w:pStyle w:val="Heading3"/>
      </w:pPr>
      <w:r w:rsidRPr="003E3E7D">
        <w:t xml:space="preserve">Ambient loop </w:t>
      </w:r>
      <w:r w:rsidR="0020685D" w:rsidRPr="003E3E7D">
        <w:t xml:space="preserve">/ </w:t>
      </w:r>
      <w:r w:rsidRPr="003E3E7D">
        <w:t>neutral temperature network</w:t>
      </w:r>
    </w:p>
    <w:p w14:paraId="3BB6B0BB" w14:textId="40A4F2AD" w:rsidR="0020685D" w:rsidRPr="003E3E7D" w:rsidRDefault="0020685D" w:rsidP="00E03E94">
      <w:pPr>
        <w:pStyle w:val="NoSpacing"/>
      </w:pPr>
      <w:r w:rsidRPr="003E3E7D">
        <w:t>A shared water or water–glycol network operated within a controlled temperature band close to ambient or ground temperature. It acts as a common heat source and heat sink for connected heat pumps and may exchange energy with the ground, groundwater, surface water, air, thermal storage, or recovered heat sources. Depending on network and soil temperatures, buried pipes may lose heat to or gain heat from the ground.</w:t>
      </w:r>
    </w:p>
    <w:p w14:paraId="591A0495" w14:textId="1560C8BF" w:rsidR="00997DC8" w:rsidRPr="003E3E7D" w:rsidRDefault="00997DC8" w:rsidP="009C116A">
      <w:pPr>
        <w:pStyle w:val="Heading2"/>
        <w:rPr>
          <w:lang w:val="en-US"/>
        </w:rPr>
      </w:pPr>
      <w:r w:rsidRPr="003E3E7D">
        <w:rPr>
          <w:lang w:val="en-US"/>
        </w:rPr>
        <w:lastRenderedPageBreak/>
        <w:t>Heat pumps</w:t>
      </w:r>
      <w:r w:rsidR="009C116A">
        <w:rPr>
          <w:lang w:val="en-US"/>
        </w:rPr>
        <w:t xml:space="preserve">, </w:t>
      </w:r>
      <w:r w:rsidRPr="003E3E7D">
        <w:rPr>
          <w:lang w:val="en-US"/>
        </w:rPr>
        <w:t>building interfaces</w:t>
      </w:r>
      <w:r w:rsidR="009C116A">
        <w:rPr>
          <w:lang w:val="en-US"/>
        </w:rPr>
        <w:t xml:space="preserve"> and t</w:t>
      </w:r>
      <w:r w:rsidR="009C116A" w:rsidRPr="003E3E7D">
        <w:rPr>
          <w:lang w:val="en-US"/>
        </w:rPr>
        <w:t>hermal exchange between users</w:t>
      </w:r>
    </w:p>
    <w:p w14:paraId="6B644E69" w14:textId="5A3908F8" w:rsidR="00095C22" w:rsidRPr="003E3E7D" w:rsidRDefault="00824825" w:rsidP="00997DC8">
      <w:pPr>
        <w:pStyle w:val="Heading3"/>
      </w:pPr>
      <w:r w:rsidRPr="003E3E7D">
        <w:t>Decentralized heat pump</w:t>
      </w:r>
    </w:p>
    <w:p w14:paraId="543F3EED" w14:textId="195DE4FD" w:rsidR="0020685D" w:rsidRPr="003E3E7D" w:rsidRDefault="0020685D" w:rsidP="00E03E94">
      <w:pPr>
        <w:pStyle w:val="NoSpacing"/>
      </w:pPr>
      <w:r w:rsidRPr="003E3E7D">
        <w:t>A heat pump located at a building, cluster of buildings, or local substation. In ultra-low-temperature networks and TSNs, it extracts heat from the shared loop and upgrades that heat to the temperature required by the building’s space-heating or domestic-hot-water system. In reversible operation it can provide cooling and reject heat to the shared loop. Decentralized heat pumps are characteristic of TSNs and some ultra-low-temperature concepts, but they are not required in every 4GDH system.</w:t>
      </w:r>
    </w:p>
    <w:p w14:paraId="78222ED5" w14:textId="77777777" w:rsidR="00997DC8" w:rsidRPr="003E3E7D" w:rsidRDefault="00997DC8" w:rsidP="00997DC8">
      <w:pPr>
        <w:pStyle w:val="Heading3"/>
      </w:pPr>
      <w:r w:rsidRPr="003E3E7D">
        <w:t>Booster heat pump / local temperature boosting</w:t>
      </w:r>
    </w:p>
    <w:p w14:paraId="526B9A63" w14:textId="77777777" w:rsidR="00997DC8" w:rsidRPr="003E3E7D" w:rsidRDefault="00997DC8" w:rsidP="00E03E94">
      <w:pPr>
        <w:pStyle w:val="NoSpacing"/>
      </w:pPr>
      <w:r w:rsidRPr="003E3E7D">
        <w:t>A heat pump used to raise the temperature of heat taken from a low-temperature network to the temperature required by a particular end use, such as domestic hot water or a higher-temperature radiator circuit. A booster heat pump is commonly located in a building or substation, although the term can also be used for a neighbourhood or central unit; the location and system boundary should therefore be stated.</w:t>
      </w:r>
    </w:p>
    <w:p w14:paraId="2B41B1DE" w14:textId="77777777" w:rsidR="00997DC8" w:rsidRPr="003E3E7D" w:rsidRDefault="00997DC8" w:rsidP="00997DC8">
      <w:pPr>
        <w:pStyle w:val="Heading3"/>
      </w:pPr>
      <w:r w:rsidRPr="003E3E7D">
        <w:t>Coefficient of performance (COP) and seasonal performance factor (SPF)</w:t>
      </w:r>
    </w:p>
    <w:p w14:paraId="31F5516E" w14:textId="0F85FA90" w:rsidR="00997DC8" w:rsidRDefault="00997DC8" w:rsidP="00E03E94">
      <w:pPr>
        <w:pStyle w:val="NoSpacing"/>
      </w:pPr>
      <w:r w:rsidRPr="003E3E7D">
        <w:t xml:space="preserve">COP is the ratio of useful heating output to electrical input at a specified operating point. SPF is the same ratio integrated over a season or year and should include clearly stated auxiliaries and system boundaries. In TSNs, heat-pump </w:t>
      </w:r>
      <w:r w:rsidR="009C116A">
        <w:t>COP</w:t>
      </w:r>
      <w:r w:rsidRPr="003E3E7D">
        <w:t xml:space="preserve"> is strongly affected by network temperature and the required temperature lift.</w:t>
      </w:r>
    </w:p>
    <w:p w14:paraId="53D52906" w14:textId="77777777" w:rsidR="009C116A" w:rsidRPr="003E3E7D" w:rsidRDefault="009C116A" w:rsidP="009C116A">
      <w:pPr>
        <w:pStyle w:val="Heading3"/>
      </w:pPr>
      <w:r w:rsidRPr="003E3E7D">
        <w:t>Temperature lift</w:t>
      </w:r>
    </w:p>
    <w:p w14:paraId="7D2A1E31" w14:textId="41C70725" w:rsidR="009C116A" w:rsidRPr="003E3E7D" w:rsidRDefault="009C116A" w:rsidP="00E03E94">
      <w:pPr>
        <w:pStyle w:val="NoSpacing"/>
      </w:pPr>
      <w:r w:rsidRPr="003E3E7D">
        <w:t>The difference between the heat-source temperature and the required heat-sink or delivery temperature across a heat pump. A smaller temperature lift generally improves COP, although actual performance also depends on equipment, part-load operation, and approach temperatures in heat exchangers.</w:t>
      </w:r>
    </w:p>
    <w:p w14:paraId="332901F2" w14:textId="046BD427" w:rsidR="00095C22" w:rsidRPr="003E3E7D" w:rsidRDefault="00824825" w:rsidP="00997DC8">
      <w:pPr>
        <w:pStyle w:val="Heading3"/>
      </w:pPr>
      <w:r w:rsidRPr="003E3E7D">
        <w:t>Bidirectional</w:t>
      </w:r>
      <w:r w:rsidR="0020685D" w:rsidRPr="003E3E7D">
        <w:t xml:space="preserve"> </w:t>
      </w:r>
      <w:r w:rsidRPr="003E3E7D">
        <w:t>/</w:t>
      </w:r>
      <w:r w:rsidR="0020685D" w:rsidRPr="003E3E7D">
        <w:t xml:space="preserve"> </w:t>
      </w:r>
      <w:r w:rsidRPr="003E3E7D">
        <w:t>prosumer network</w:t>
      </w:r>
    </w:p>
    <w:p w14:paraId="68219910" w14:textId="6C20482A" w:rsidR="0020685D" w:rsidRPr="003E3E7D" w:rsidRDefault="0020685D" w:rsidP="00E03E94">
      <w:pPr>
        <w:pStyle w:val="NoSpacing"/>
      </w:pPr>
      <w:r w:rsidRPr="003E3E7D">
        <w:t>An operating and market concept in which a connected user may both consume thermal energy and supply usable heat or cold to the network. A prosumer may, for example, inject recovered heat from cooling, refrigeration, a data centre, solar thermal collectors, or a local heat pump. Injection is subject to temperature, hydraulic, water-quality, metering, control, and contractual requirements. Bidirectional thermal exchange does not necessarily mean that mass flow reverses in every pipe.</w:t>
      </w:r>
    </w:p>
    <w:p w14:paraId="088D96CD" w14:textId="77777777" w:rsidR="00997DC8" w:rsidRPr="003E3E7D" w:rsidRDefault="00997DC8" w:rsidP="00997DC8">
      <w:pPr>
        <w:pStyle w:val="Heading3"/>
      </w:pPr>
      <w:r w:rsidRPr="003E3E7D">
        <w:t>Simultaneous heating and cooling (SHC) / heat recovery between users</w:t>
      </w:r>
    </w:p>
    <w:p w14:paraId="1438DFF9" w14:textId="3973EB27" w:rsidR="00997DC8" w:rsidRPr="003E3E7D" w:rsidRDefault="00997DC8" w:rsidP="00E03E94">
      <w:pPr>
        <w:pStyle w:val="NoSpacing"/>
      </w:pPr>
      <w:r w:rsidRPr="003E3E7D">
        <w:t>A mode in which heating and cooling demands occur at the same time and heat rejected by cooling users is recovered through the network to help supply heating users. In near-ambient networks this exchange is usually mediated by the shared loop and reversible heat pumps. It can reduce the net heat that must be supplied from external sources and the net heat that must be rejected to external sinks.</w:t>
      </w:r>
    </w:p>
    <w:p w14:paraId="3D51DCBA" w14:textId="13C1FDF8" w:rsidR="00997DC8" w:rsidRPr="003E3E7D" w:rsidRDefault="00997DC8" w:rsidP="00997DC8">
      <w:pPr>
        <w:pStyle w:val="Heading2"/>
        <w:rPr>
          <w:lang w:val="en-US"/>
        </w:rPr>
      </w:pPr>
      <w:r w:rsidRPr="003E3E7D">
        <w:rPr>
          <w:lang w:val="en-US"/>
        </w:rPr>
        <w:t>Energy sources and storage</w:t>
      </w:r>
    </w:p>
    <w:p w14:paraId="49B52DE6" w14:textId="258199C6" w:rsidR="00095C22" w:rsidRPr="003E3E7D" w:rsidRDefault="00F50DD8" w:rsidP="00997DC8">
      <w:pPr>
        <w:pStyle w:val="Heading3"/>
      </w:pPr>
      <w:r w:rsidRPr="003E3E7D">
        <w:t>Waste heat recovery / excess heat / surplus heat utilization</w:t>
      </w:r>
    </w:p>
    <w:p w14:paraId="14DF5312" w14:textId="35A4FB59" w:rsidR="00F50DD8" w:rsidRPr="003E3E7D" w:rsidRDefault="00F50DD8" w:rsidP="00E03E94">
      <w:pPr>
        <w:pStyle w:val="NoSpacing"/>
      </w:pPr>
      <w:r w:rsidRPr="003E3E7D">
        <w:t>The capture and useful reuse of thermal energy that is not the primary product of a process and would otherwise be rejected to air</w:t>
      </w:r>
      <w:r w:rsidR="00E03E94">
        <w:t xml:space="preserve"> or</w:t>
      </w:r>
      <w:r w:rsidRPr="003E3E7D">
        <w:t xml:space="preserve"> water. Sources include industrial processes, data </w:t>
      </w:r>
      <w:r w:rsidR="002B495A" w:rsidRPr="003E3E7D">
        <w:t>centers</w:t>
      </w:r>
      <w:r w:rsidRPr="003E3E7D">
        <w:t xml:space="preserve">, refrigeration systems, wastewater, or power-generation processes. Connection may require a heat exchanger, water-quality separation, thermal storage, and/or a heat pump to reach the required temperature. Feasibility depends on </w:t>
      </w:r>
      <w:r w:rsidRPr="00E03E94">
        <w:rPr>
          <w:spacing w:val="-2"/>
        </w:rPr>
        <w:t>temperature, quantity, load profile, continuity, distance, contamination risk, ownership, long-term availability.</w:t>
      </w:r>
    </w:p>
    <w:p w14:paraId="160337E6" w14:textId="77777777" w:rsidR="00997DC8" w:rsidRPr="003E3E7D" w:rsidRDefault="00997DC8" w:rsidP="00997DC8">
      <w:pPr>
        <w:pStyle w:val="Heading3"/>
      </w:pPr>
      <w:r w:rsidRPr="003E3E7D">
        <w:t>Renewable and surplus energy integration</w:t>
      </w:r>
    </w:p>
    <w:p w14:paraId="451371D8" w14:textId="4D4BEAA5" w:rsidR="00997DC8" w:rsidRPr="003E3E7D" w:rsidRDefault="00997DC8" w:rsidP="00E03E94">
      <w:pPr>
        <w:pStyle w:val="NoSpacing"/>
      </w:pPr>
      <w:r w:rsidRPr="003E3E7D">
        <w:t xml:space="preserve">The ability of a district heating and cooling system to use a portfolio of renewable heat and cold sources, recovered excess heat, ambient heat, and electricity-driven heat pumps. Relevant sources include solar thermal energy, geothermal energy, sustainable bioenergy, wastewater and surface-water heat, industrial excess heat, refrigeration heat, and ambient air or ground heat accessed by heat pumps. </w:t>
      </w:r>
    </w:p>
    <w:p w14:paraId="64E7AE21" w14:textId="1BB6BBCB" w:rsidR="00095C22" w:rsidRPr="003E3E7D" w:rsidRDefault="00F50DD8" w:rsidP="00997DC8">
      <w:pPr>
        <w:pStyle w:val="Heading3"/>
      </w:pPr>
      <w:r w:rsidRPr="003E3E7D">
        <w:lastRenderedPageBreak/>
        <w:t>Thermal energy storage (short-term or seasonal)</w:t>
      </w:r>
    </w:p>
    <w:p w14:paraId="398F23A0" w14:textId="3E8EF59B" w:rsidR="00F50DD8" w:rsidRPr="003E3E7D" w:rsidRDefault="00F50DD8" w:rsidP="00E03E94">
      <w:pPr>
        <w:pStyle w:val="NoSpacing"/>
      </w:pPr>
      <w:r w:rsidRPr="003E3E7D">
        <w:t>The temporary storage of sensible or latent heat or cold for later use. Short-term storage balances hourly or daily mismatches and reduces peak capacity, while seasonal storage shifts thermal energy across weeks or seasons. Technologies include water tanks, pit thermal energy storage, phase-change storage, borehole fields, aquifers, mine water, and building thermal mass. Storage can improve source utilization, heat-pump operation, renewable integration, resilience, and network control.</w:t>
      </w:r>
    </w:p>
    <w:p w14:paraId="1E5CF7FF" w14:textId="72D62DCC" w:rsidR="00095C22" w:rsidRPr="003E3E7D" w:rsidRDefault="00F20775" w:rsidP="00997DC8">
      <w:pPr>
        <w:pStyle w:val="Heading3"/>
      </w:pPr>
      <w:r w:rsidRPr="003E3E7D">
        <w:t>Borehole thermal energy storage (BTES) / aquifer thermal energy storage (ATES)</w:t>
      </w:r>
    </w:p>
    <w:p w14:paraId="0CAA4AE5" w14:textId="3FD83D94" w:rsidR="00F20775" w:rsidRPr="003E3E7D" w:rsidRDefault="00F20775" w:rsidP="00E03E94">
      <w:pPr>
        <w:pStyle w:val="NoSpacing"/>
      </w:pPr>
      <w:r w:rsidRPr="003E3E7D">
        <w:t>BTES is a closed-loop underground storage system in which heat-transfer fluid circulates through a field of borehole heat exchangers and stores heat or cold in the surrounding soil or rock. ATES is generally an open-well system that stores and recovers heat or cold using groundwater in a suitable aquifer, commonly through warm and cold wells. Both technologies can provide seasonal balancing and can support 4GDH, district cooling, or TSNs.</w:t>
      </w:r>
    </w:p>
    <w:p w14:paraId="6F85478B" w14:textId="77777777" w:rsidR="00D93BA7" w:rsidRPr="003E3E7D" w:rsidRDefault="00D93BA7" w:rsidP="00D93BA7">
      <w:pPr>
        <w:pStyle w:val="Heading3"/>
      </w:pPr>
      <w:r w:rsidRPr="003E3E7D">
        <w:t>Thermal balance of a source network</w:t>
      </w:r>
    </w:p>
    <w:p w14:paraId="24586E1E" w14:textId="32B95CA9" w:rsidR="00D93BA7" w:rsidRPr="003E3E7D" w:rsidRDefault="00D93BA7" w:rsidP="00E03E94">
      <w:pPr>
        <w:pStyle w:val="NoSpacing"/>
      </w:pPr>
      <w:r w:rsidRPr="003E3E7D">
        <w:t>The balance over time between heat extracted from and rejected to a near-ambient network, including exchanges with external sources, sinks, storage, and the ground. Persistent annual imbalance can cause long-term temperature drift and reduce heat-pump performance or system capacity.</w:t>
      </w:r>
    </w:p>
    <w:p w14:paraId="692CA55E" w14:textId="0CCF64D4" w:rsidR="00D93BA7" w:rsidRPr="003E3E7D" w:rsidRDefault="00D93BA7" w:rsidP="00D93BA7">
      <w:pPr>
        <w:pStyle w:val="Heading2"/>
        <w:rPr>
          <w:lang w:val="en-US"/>
        </w:rPr>
      </w:pPr>
      <w:r w:rsidRPr="003E3E7D">
        <w:rPr>
          <w:lang w:val="en-US"/>
        </w:rPr>
        <w:t>Control and operational performance, safety and economic assessment</w:t>
      </w:r>
    </w:p>
    <w:p w14:paraId="5C80BF7C" w14:textId="102C7528" w:rsidR="00095C22" w:rsidRPr="003E3E7D" w:rsidRDefault="00F20775" w:rsidP="00D93BA7">
      <w:pPr>
        <w:pStyle w:val="Heading3"/>
      </w:pPr>
      <w:r w:rsidRPr="003E3E7D">
        <w:t>Smart thermal grid</w:t>
      </w:r>
    </w:p>
    <w:p w14:paraId="7E734D9A" w14:textId="25FDA74F" w:rsidR="00F20775" w:rsidRPr="003E3E7D" w:rsidRDefault="00F20775" w:rsidP="00E03E94">
      <w:pPr>
        <w:pStyle w:val="NoSpacing"/>
      </w:pPr>
      <w:r w:rsidRPr="003E3E7D">
        <w:t>A thermal network that uses sensors, metering, communication, forecasting, optimization, and automated control to coordinate heat and cold sources, storage, pumps, network temperatures, flow rates, demand response, and customer substations. Smart operation may also coordinate the thermal system with electricity, gas, transport, and industrial energy systems.</w:t>
      </w:r>
    </w:p>
    <w:p w14:paraId="4A7113E0" w14:textId="77777777" w:rsidR="00D93BA7" w:rsidRPr="003E3E7D" w:rsidRDefault="00D93BA7" w:rsidP="00D93BA7">
      <w:pPr>
        <w:pStyle w:val="Heading3"/>
      </w:pPr>
      <w:r w:rsidRPr="003E3E7D">
        <w:t>Low-ΔT syndrome</w:t>
      </w:r>
    </w:p>
    <w:p w14:paraId="04CD137B" w14:textId="3CF40C74" w:rsidR="00D93BA7" w:rsidRPr="003E3E7D" w:rsidRDefault="00D93BA7" w:rsidP="00E03E94">
      <w:pPr>
        <w:pStyle w:val="NoSpacing"/>
      </w:pPr>
      <w:r w:rsidRPr="003E3E7D">
        <w:t>A condition in which the measured temperature difference between supply and return is lower than intended because of poor control, oversized or bypassed equipment, excessive flow, fouled heat exchangers, or unsuitable customer systems. It increases pumping demand, reduces network capacity, and raises return temperature in warm district-heating networks.</w:t>
      </w:r>
    </w:p>
    <w:p w14:paraId="794CD94A" w14:textId="27370879" w:rsidR="00095C22" w:rsidRPr="003E3E7D" w:rsidRDefault="00F20775" w:rsidP="00D93BA7">
      <w:pPr>
        <w:pStyle w:val="Heading3"/>
      </w:pPr>
      <w:r w:rsidRPr="003E3E7D">
        <w:t>Legionella risk / domestic-hot-water (DHW) temperature requirement</w:t>
      </w:r>
    </w:p>
    <w:p w14:paraId="48017A28" w14:textId="7BB83EBF" w:rsidR="00F20775" w:rsidRPr="003E3E7D" w:rsidRDefault="00F20775" w:rsidP="00E03E94">
      <w:pPr>
        <w:pStyle w:val="NoSpacing"/>
      </w:pPr>
      <w:r w:rsidRPr="003E3E7D">
        <w:t>Legionella risk concerns the potable domestic-hot-water system, not the closed district-heating or ambient-loop fluid. Risk management depends on the system configuration, water temperature and residence time, stagnation, storage volume, circulation, cleanliness, commissioning, and the vulnerability of users. Low-temperature networks may require local temperature boosting, instantaneous domestic-hot-water preparation, very small water volumes, periodic thermal disinfection, or another approved control method. The applicable temperature–time regime must follow local legislation and building-water hygiene guidance.</w:t>
      </w:r>
    </w:p>
    <w:p w14:paraId="48A21C1C" w14:textId="5963F185" w:rsidR="00095C22" w:rsidRPr="003E3E7D" w:rsidRDefault="00824825" w:rsidP="00D93BA7">
      <w:pPr>
        <w:pStyle w:val="Heading3"/>
      </w:pPr>
      <w:r w:rsidRPr="003E3E7D">
        <w:t>Levelized cost of heat</w:t>
      </w:r>
      <w:r w:rsidR="00F20775" w:rsidRPr="003E3E7D">
        <w:t xml:space="preserve"> </w:t>
      </w:r>
      <w:r w:rsidRPr="003E3E7D">
        <w:t>/</w:t>
      </w:r>
      <w:r w:rsidR="00F20775" w:rsidRPr="003E3E7D">
        <w:t xml:space="preserve"> </w:t>
      </w:r>
      <w:r w:rsidRPr="003E3E7D">
        <w:t>cooling (LCOH</w:t>
      </w:r>
      <w:r w:rsidR="00F20775" w:rsidRPr="003E3E7D">
        <w:t xml:space="preserve"> </w:t>
      </w:r>
      <w:r w:rsidRPr="003E3E7D">
        <w:t>/</w:t>
      </w:r>
      <w:r w:rsidR="00F20775" w:rsidRPr="003E3E7D">
        <w:t xml:space="preserve"> </w:t>
      </w:r>
      <w:r w:rsidRPr="003E3E7D">
        <w:t>LCOC)</w:t>
      </w:r>
    </w:p>
    <w:p w14:paraId="17DD0640" w14:textId="48CCC170" w:rsidR="00F20775" w:rsidRPr="003E3E7D" w:rsidRDefault="00F20775" w:rsidP="00E03E94">
      <w:pPr>
        <w:pStyle w:val="NoSpacing"/>
      </w:pPr>
      <w:r w:rsidRPr="003E3E7D">
        <w:t>The ratio of the discounted lifetime costs of a defined heating or cooling system to the discounted quantity of useful heat or cooling delivered over the same analysis period and system boundary. Costs may include capital investment, financing, replacement, operation and maintenance, fuel and electricity, pumping, water treatment, decommissioning, and residual value. Results must state the discount rate, lifetime, price assumptions, utilization, system boundary, and whether network and customer-side equipment are included.</w:t>
      </w:r>
    </w:p>
    <w:sectPr w:rsidR="00F20775" w:rsidRPr="003E3E7D" w:rsidSect="00AC307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BA7D2" w14:textId="77777777" w:rsidR="002A086B" w:rsidRDefault="002A086B" w:rsidP="00AC3070">
      <w:pPr>
        <w:spacing w:line="240" w:lineRule="auto"/>
      </w:pPr>
      <w:r>
        <w:separator/>
      </w:r>
    </w:p>
  </w:endnote>
  <w:endnote w:type="continuationSeparator" w:id="0">
    <w:p w14:paraId="4464E496" w14:textId="77777777" w:rsidR="002A086B" w:rsidRDefault="002A086B" w:rsidP="00AC3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6C12" w14:textId="1DBD53ED" w:rsidR="00AC3070" w:rsidRPr="004B45C1" w:rsidRDefault="00000000" w:rsidP="004B45C1">
    <w:pPr>
      <w:pStyle w:val="Footer"/>
      <w:jc w:val="right"/>
      <w:rPr>
        <w:lang w:val="en-US"/>
      </w:rPr>
    </w:pPr>
    <w:sdt>
      <w:sdtPr>
        <w:id w:val="-662635125"/>
        <w:docPartObj>
          <w:docPartGallery w:val="Page Numbers (Bottom of Page)"/>
          <w:docPartUnique/>
        </w:docPartObj>
      </w:sdtPr>
      <w:sdtContent>
        <w:r w:rsidR="004B45C1">
          <w:fldChar w:fldCharType="begin"/>
        </w:r>
        <w:r w:rsidR="004B45C1">
          <w:instrText>PAGE   \* MERGEFORMAT</w:instrText>
        </w:r>
        <w:r w:rsidR="004B45C1">
          <w:fldChar w:fldCharType="separate"/>
        </w:r>
        <w:r w:rsidR="004B45C1">
          <w:t>1</w:t>
        </w:r>
        <w:r w:rsidR="004B45C1">
          <w:fldChar w:fldCharType="end"/>
        </w:r>
      </w:sdtContent>
    </w:sdt>
    <w:r w:rsidR="004B45C1">
      <w:tab/>
    </w:r>
    <w:r w:rsidR="004B45C1">
      <w:rPr>
        <w:lang w:val="en-US"/>
      </w:rPr>
      <w:t>RepowerRegions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BD0D" w14:textId="77777777" w:rsidR="002A086B" w:rsidRDefault="002A086B" w:rsidP="00AC3070">
      <w:pPr>
        <w:spacing w:line="240" w:lineRule="auto"/>
      </w:pPr>
      <w:r>
        <w:separator/>
      </w:r>
    </w:p>
  </w:footnote>
  <w:footnote w:type="continuationSeparator" w:id="0">
    <w:p w14:paraId="79524F97" w14:textId="77777777" w:rsidR="002A086B" w:rsidRDefault="002A086B" w:rsidP="00AC3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A6B3" w14:textId="44CE868C" w:rsidR="00997DC8" w:rsidRDefault="00AC3070" w:rsidP="00997DC8">
    <w:pPr>
      <w:tabs>
        <w:tab w:val="right" w:pos="9638"/>
      </w:tabs>
      <w:spacing w:line="240" w:lineRule="auto"/>
      <w:jc w:val="left"/>
      <w:rPr>
        <w:rFonts w:eastAsia="Times New Roman" w:cs="Times New Roman"/>
        <w:lang w:val="en-GB" w:eastAsia="lv-LV"/>
      </w:rPr>
    </w:pPr>
    <w:r w:rsidRPr="00997DC8">
      <w:rPr>
        <w:rFonts w:eastAsia="Times New Roman" w:cs="Times New Roman"/>
        <w:lang w:val="en-US" w:eastAsia="lv-LV"/>
      </w:rPr>
      <w:t xml:space="preserve">Module 4. </w:t>
    </w:r>
    <w:r w:rsidRPr="00997DC8">
      <w:rPr>
        <w:lang w:val="en-US" w:eastAsia="lv-LV"/>
      </w:rPr>
      <w:t>Integrating with District ​&amp; Renewable Heat ​</w:t>
    </w:r>
    <w:r w:rsidR="00997DC8" w:rsidRPr="00997DC8">
      <w:rPr>
        <w:rFonts w:eastAsia="Times New Roman" w:cs="Times New Roman"/>
        <w:lang w:val="en-US" w:eastAsia="lv-LV"/>
      </w:rPr>
      <w:t xml:space="preserve"> </w:t>
    </w:r>
    <w:r w:rsidR="00997DC8" w:rsidRPr="00997DC8">
      <w:rPr>
        <w:rFonts w:eastAsia="Times New Roman" w:cs="Times New Roman"/>
        <w:lang w:val="en-US" w:eastAsia="lv-LV"/>
      </w:rPr>
      <w:tab/>
      <w:t>KEY</w:t>
    </w:r>
    <w:r w:rsidR="00006D99">
      <w:rPr>
        <w:rFonts w:eastAsia="Times New Roman" w:cs="Times New Roman"/>
        <w:lang w:val="en-US" w:eastAsia="lv-LV"/>
      </w:rPr>
      <w:t xml:space="preserve"> </w:t>
    </w:r>
    <w:r w:rsidR="00997DC8" w:rsidRPr="00997DC8">
      <w:rPr>
        <w:rFonts w:eastAsia="Times New Roman" w:cs="Times New Roman"/>
        <w:lang w:val="en-US" w:eastAsia="lv-LV"/>
      </w:rPr>
      <w:t>TERMS</w:t>
    </w:r>
    <w:r w:rsidRPr="00997DC8">
      <w:rPr>
        <w:lang w:val="en-US" w:eastAsia="lv-LV"/>
      </w:rPr>
      <w:br/>
    </w:r>
    <w:r w:rsidRPr="00997DC8">
      <w:rPr>
        <w:rFonts w:eastAsia="Times New Roman" w:cs="Times New Roman"/>
        <w:lang w:val="en-GB" w:eastAsia="lv-LV"/>
      </w:rPr>
      <w:t>Unit 1. Low-Temperature District Heating &amp; Cooling (4GDH/5GDHC)</w:t>
    </w:r>
  </w:p>
  <w:p w14:paraId="675C3659" w14:textId="77777777" w:rsidR="00997DC8" w:rsidRPr="00997DC8" w:rsidRDefault="00997DC8" w:rsidP="00997DC8">
    <w:pPr>
      <w:tabs>
        <w:tab w:val="right" w:pos="9638"/>
      </w:tabs>
      <w:spacing w:line="240" w:lineRule="auto"/>
      <w:jc w:val="left"/>
      <w:rPr>
        <w:rFonts w:eastAsia="Times New Roman" w:cs="Times New Roman"/>
        <w:lang w:val="en-US"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020C"/>
    <w:multiLevelType w:val="hybridMultilevel"/>
    <w:tmpl w:val="2E909B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F803040"/>
    <w:multiLevelType w:val="multilevel"/>
    <w:tmpl w:val="864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861C0"/>
    <w:multiLevelType w:val="multilevel"/>
    <w:tmpl w:val="A6D4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95395">
    <w:abstractNumId w:val="2"/>
  </w:num>
  <w:num w:numId="2" w16cid:durableId="1021006593">
    <w:abstractNumId w:val="1"/>
  </w:num>
  <w:num w:numId="3" w16cid:durableId="20840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5"/>
    <w:rsid w:val="00006D99"/>
    <w:rsid w:val="00095C22"/>
    <w:rsid w:val="0020685D"/>
    <w:rsid w:val="002A086B"/>
    <w:rsid w:val="002B495A"/>
    <w:rsid w:val="00317E41"/>
    <w:rsid w:val="003E3E7D"/>
    <w:rsid w:val="003F67B7"/>
    <w:rsid w:val="004A3AD6"/>
    <w:rsid w:val="004B45C1"/>
    <w:rsid w:val="00824825"/>
    <w:rsid w:val="00896C49"/>
    <w:rsid w:val="00997DC8"/>
    <w:rsid w:val="009C116A"/>
    <w:rsid w:val="00A35A0F"/>
    <w:rsid w:val="00AC3070"/>
    <w:rsid w:val="00CF51A9"/>
    <w:rsid w:val="00D93BA7"/>
    <w:rsid w:val="00DB4F64"/>
    <w:rsid w:val="00E03E94"/>
    <w:rsid w:val="00F20775"/>
    <w:rsid w:val="00F275E3"/>
    <w:rsid w:val="00F35470"/>
    <w:rsid w:val="00F37C24"/>
    <w:rsid w:val="00F50D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719"/>
  <w15:chartTrackingRefBased/>
  <w15:docId w15:val="{20F34E66-4CAF-4B8C-BBA7-2FEF3F5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C22"/>
    <w:pPr>
      <w:spacing w:after="0"/>
      <w:jc w:val="both"/>
    </w:pPr>
    <w:rPr>
      <w:rFonts w:ascii="Times New Roman" w:hAnsi="Times New Roman"/>
    </w:rPr>
  </w:style>
  <w:style w:type="paragraph" w:styleId="Heading2">
    <w:name w:val="heading 2"/>
    <w:basedOn w:val="Normal"/>
    <w:link w:val="Heading2Char"/>
    <w:uiPriority w:val="9"/>
    <w:qFormat/>
    <w:rsid w:val="00997DC8"/>
    <w:pPr>
      <w:spacing w:before="240" w:line="240" w:lineRule="auto"/>
      <w:jc w:val="center"/>
      <w:outlineLvl w:val="1"/>
    </w:pPr>
    <w:rPr>
      <w:rFonts w:eastAsia="Times New Roman" w:cs="Times New Roman"/>
      <w:b/>
      <w:bCs/>
      <w:sz w:val="28"/>
      <w:szCs w:val="40"/>
      <w:lang w:eastAsia="lv-LV"/>
    </w:rPr>
  </w:style>
  <w:style w:type="paragraph" w:styleId="Heading3">
    <w:name w:val="heading 3"/>
    <w:basedOn w:val="Heading2"/>
    <w:next w:val="Normal"/>
    <w:link w:val="Heading3Char"/>
    <w:uiPriority w:val="9"/>
    <w:unhideWhenUsed/>
    <w:qFormat/>
    <w:rsid w:val="00997DC8"/>
    <w:pPr>
      <w:jc w:val="left"/>
      <w:outlineLvl w:val="2"/>
    </w:pPr>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7DC8"/>
    <w:rPr>
      <w:rFonts w:ascii="Times New Roman" w:eastAsia="Times New Roman" w:hAnsi="Times New Roman" w:cs="Times New Roman"/>
      <w:b/>
      <w:bCs/>
      <w:sz w:val="28"/>
      <w:szCs w:val="40"/>
      <w:lang w:eastAsia="lv-LV"/>
    </w:rPr>
  </w:style>
  <w:style w:type="paragraph" w:customStyle="1" w:styleId="font-claude-response-body">
    <w:name w:val="font-claude-response-body"/>
    <w:basedOn w:val="Normal"/>
    <w:rsid w:val="00824825"/>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824825"/>
    <w:rPr>
      <w:b/>
      <w:bCs/>
    </w:rPr>
  </w:style>
  <w:style w:type="paragraph" w:styleId="NormalWeb">
    <w:name w:val="Normal (Web)"/>
    <w:basedOn w:val="Normal"/>
    <w:uiPriority w:val="99"/>
    <w:semiHidden/>
    <w:unhideWhenUsed/>
    <w:rsid w:val="00AC3070"/>
    <w:pPr>
      <w:spacing w:before="100" w:beforeAutospacing="1" w:after="100" w:afterAutospacing="1" w:line="240" w:lineRule="auto"/>
      <w:jc w:val="left"/>
    </w:pPr>
    <w:rPr>
      <w:rFonts w:eastAsia="Times New Roman" w:cs="Times New Roman"/>
      <w:sz w:val="24"/>
      <w:szCs w:val="24"/>
      <w:lang w:val="de-DE" w:eastAsia="de-DE"/>
    </w:rPr>
  </w:style>
  <w:style w:type="paragraph" w:styleId="Header">
    <w:name w:val="header"/>
    <w:basedOn w:val="Normal"/>
    <w:link w:val="HeaderChar"/>
    <w:uiPriority w:val="99"/>
    <w:unhideWhenUsed/>
    <w:rsid w:val="00AC3070"/>
    <w:pPr>
      <w:tabs>
        <w:tab w:val="center" w:pos="4513"/>
        <w:tab w:val="right" w:pos="9026"/>
      </w:tabs>
      <w:spacing w:line="240" w:lineRule="auto"/>
    </w:pPr>
  </w:style>
  <w:style w:type="character" w:customStyle="1" w:styleId="HeaderChar">
    <w:name w:val="Header Char"/>
    <w:basedOn w:val="DefaultParagraphFont"/>
    <w:link w:val="Header"/>
    <w:uiPriority w:val="99"/>
    <w:rsid w:val="00AC3070"/>
    <w:rPr>
      <w:rFonts w:ascii="Times New Roman" w:hAnsi="Times New Roman"/>
    </w:rPr>
  </w:style>
  <w:style w:type="paragraph" w:styleId="Footer">
    <w:name w:val="footer"/>
    <w:basedOn w:val="Normal"/>
    <w:link w:val="FooterChar"/>
    <w:uiPriority w:val="99"/>
    <w:unhideWhenUsed/>
    <w:rsid w:val="00AC3070"/>
    <w:pPr>
      <w:tabs>
        <w:tab w:val="center" w:pos="4513"/>
        <w:tab w:val="right" w:pos="9026"/>
      </w:tabs>
      <w:spacing w:line="240" w:lineRule="auto"/>
    </w:pPr>
  </w:style>
  <w:style w:type="character" w:customStyle="1" w:styleId="FooterChar">
    <w:name w:val="Footer Char"/>
    <w:basedOn w:val="DefaultParagraphFont"/>
    <w:link w:val="Footer"/>
    <w:uiPriority w:val="99"/>
    <w:rsid w:val="00AC3070"/>
    <w:rPr>
      <w:rFonts w:ascii="Times New Roman" w:hAnsi="Times New Roman"/>
    </w:rPr>
  </w:style>
  <w:style w:type="character" w:customStyle="1" w:styleId="Heading3Char">
    <w:name w:val="Heading 3 Char"/>
    <w:basedOn w:val="DefaultParagraphFont"/>
    <w:link w:val="Heading3"/>
    <w:uiPriority w:val="9"/>
    <w:rsid w:val="00997DC8"/>
    <w:rPr>
      <w:rFonts w:ascii="Times New Roman" w:eastAsia="Times New Roman" w:hAnsi="Times New Roman" w:cs="Times New Roman"/>
      <w:b/>
      <w:bCs/>
      <w:sz w:val="24"/>
      <w:szCs w:val="40"/>
      <w:lang w:val="en-US" w:eastAsia="lv-LV"/>
    </w:rPr>
  </w:style>
  <w:style w:type="paragraph" w:customStyle="1" w:styleId="GlossaryDefinition">
    <w:name w:val="Glossary Definition"/>
    <w:rsid w:val="00997DC8"/>
    <w:pPr>
      <w:spacing w:after="60" w:line="276" w:lineRule="auto"/>
    </w:pPr>
    <w:rPr>
      <w:rFonts w:ascii="Arial" w:eastAsia="Arial" w:hAnsi="Arial"/>
      <w:color w:val="202020"/>
      <w:sz w:val="21"/>
      <w:lang w:val="en-US"/>
    </w:rPr>
  </w:style>
  <w:style w:type="paragraph" w:styleId="NoSpacing">
    <w:name w:val="No Spacing"/>
    <w:aliases w:val="Text"/>
    <w:basedOn w:val="Normal"/>
    <w:uiPriority w:val="1"/>
    <w:qFormat/>
    <w:rsid w:val="00E03E94"/>
    <w:pPr>
      <w:ind w:left="113"/>
    </w:pPr>
    <w:rPr>
      <w:lang w:val="en-US"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0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2253C9AEBC71C47A227A4829C21DF97" ma:contentTypeVersion="12" ma:contentTypeDescription="Создание документа." ma:contentTypeScope="" ma:versionID="c08ecda7829650c9ca8e883389edc514">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95b37ab51bf15cb650d477a5fdec67b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FD441992-7933-424A-A8B5-66118FB2C3EF}"/>
</file>

<file path=customXml/itemProps2.xml><?xml version="1.0" encoding="utf-8"?>
<ds:datastoreItem xmlns:ds="http://schemas.openxmlformats.org/officeDocument/2006/customXml" ds:itemID="{8FA6DED3-8FB0-46C8-87E1-4E0DC08AC04E}"/>
</file>

<file path=customXml/itemProps3.xml><?xml version="1.0" encoding="utf-8"?>
<ds:datastoreItem xmlns:ds="http://schemas.openxmlformats.org/officeDocument/2006/customXml" ds:itemID="{E07D4F5E-FA7D-4670-978B-BD9AE118A45D}"/>
</file>

<file path=docProps/app.xml><?xml version="1.0" encoding="utf-8"?>
<Properties xmlns="http://schemas.openxmlformats.org/officeDocument/2006/extended-properties" xmlns:vt="http://schemas.openxmlformats.org/officeDocument/2006/docPropsVTypes">
  <Template>Normal.dotm</Template>
  <TotalTime>0</TotalTime>
  <Pages>4</Pages>
  <Words>2065</Words>
  <Characters>13013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Tambovceva</dc:creator>
  <cp:keywords/>
  <dc:description/>
  <cp:lastModifiedBy>Raimonds Bogdanovičs</cp:lastModifiedBy>
  <cp:revision>12</cp:revision>
  <dcterms:created xsi:type="dcterms:W3CDTF">2026-07-24T06:54:00Z</dcterms:created>
  <dcterms:modified xsi:type="dcterms:W3CDTF">2026-07-24T14:13:00Z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